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D50" w:rsidRDefault="00AE7D50">
      <w:pPr>
        <w:spacing w:before="120"/>
        <w:jc w:val="center"/>
        <w:rPr>
          <w:b/>
          <w:sz w:val="36"/>
          <w:szCs w:val="36"/>
        </w:rPr>
      </w:pPr>
    </w:p>
    <w:p w:rsidR="00AE7D50" w:rsidRDefault="00AE7D50">
      <w:pPr>
        <w:spacing w:before="120"/>
        <w:jc w:val="center"/>
        <w:rPr>
          <w:b/>
          <w:sz w:val="36"/>
          <w:szCs w:val="36"/>
        </w:rPr>
      </w:pPr>
    </w:p>
    <w:p w:rsidR="00AE7D50" w:rsidRDefault="00AE7D50">
      <w:pPr>
        <w:spacing w:before="120"/>
        <w:jc w:val="center"/>
        <w:rPr>
          <w:b/>
          <w:sz w:val="36"/>
          <w:szCs w:val="36"/>
        </w:rPr>
      </w:pPr>
      <w:r>
        <w:rPr>
          <w:b/>
          <w:sz w:val="36"/>
          <w:szCs w:val="36"/>
        </w:rPr>
        <w:t>2011 Resource Adequacy Report</w:t>
      </w:r>
    </w:p>
    <w:p w:rsidR="00AE7D50" w:rsidRDefault="00AE7D50">
      <w:pPr>
        <w:pStyle w:val="Subtitle"/>
        <w:rPr>
          <w:rFonts w:ascii="Times New Roman" w:hAnsi="Times New Roman"/>
          <w:b/>
        </w:rPr>
      </w:pPr>
      <w:bookmarkStart w:id="0" w:name="_Toc223253242"/>
      <w:bookmarkStart w:id="1" w:name="_Toc224022425"/>
    </w:p>
    <w:p w:rsidR="00AE7D50" w:rsidRDefault="00AE7D50">
      <w:pPr>
        <w:pStyle w:val="Subtitle"/>
        <w:rPr>
          <w:rFonts w:ascii="Times New Roman" w:hAnsi="Times New Roman"/>
          <w:b/>
        </w:rPr>
      </w:pPr>
    </w:p>
    <w:p w:rsidR="00AE7D50" w:rsidRDefault="00AE7D50">
      <w:pPr>
        <w:pStyle w:val="Subtitle"/>
        <w:rPr>
          <w:rFonts w:ascii="Times New Roman" w:hAnsi="Times New Roman"/>
          <w:b/>
        </w:rPr>
      </w:pPr>
    </w:p>
    <w:p w:rsidR="00AE7D50" w:rsidRDefault="00AE7D50">
      <w:pPr>
        <w:pStyle w:val="Subtitle"/>
        <w:rPr>
          <w:rFonts w:ascii="Times New Roman" w:hAnsi="Times New Roman"/>
          <w:b/>
          <w:sz w:val="32"/>
          <w:szCs w:val="32"/>
        </w:rPr>
      </w:pPr>
      <w:r>
        <w:rPr>
          <w:rFonts w:ascii="Times New Roman" w:hAnsi="Times New Roman"/>
          <w:b/>
          <w:sz w:val="32"/>
          <w:szCs w:val="32"/>
        </w:rPr>
        <w:t>Produced by</w:t>
      </w:r>
    </w:p>
    <w:p w:rsidR="00AE7D50" w:rsidRDefault="00AE7D50">
      <w:pPr>
        <w:pStyle w:val="Subtitle"/>
        <w:rPr>
          <w:rFonts w:ascii="Times New Roman" w:hAnsi="Times New Roman"/>
          <w:b/>
          <w:sz w:val="32"/>
          <w:szCs w:val="32"/>
        </w:rPr>
      </w:pPr>
      <w:r>
        <w:rPr>
          <w:rFonts w:ascii="Times New Roman" w:hAnsi="Times New Roman"/>
          <w:b/>
          <w:sz w:val="32"/>
          <w:szCs w:val="32"/>
        </w:rPr>
        <w:t>The Staff of the</w:t>
      </w:r>
    </w:p>
    <w:p w:rsidR="00AE7D50" w:rsidRDefault="00AE7D50">
      <w:pPr>
        <w:pStyle w:val="Subtitle"/>
        <w:rPr>
          <w:rFonts w:ascii="Times New Roman" w:hAnsi="Times New Roman"/>
          <w:b/>
          <w:sz w:val="32"/>
          <w:szCs w:val="32"/>
        </w:rPr>
      </w:pPr>
      <w:smartTag w:uri="urn:schemas-microsoft-com:office:smarttags" w:element="State">
        <w:r>
          <w:rPr>
            <w:rFonts w:ascii="Times New Roman" w:hAnsi="Times New Roman"/>
            <w:b/>
            <w:sz w:val="32"/>
            <w:szCs w:val="32"/>
          </w:rPr>
          <w:t>California</w:t>
        </w:r>
      </w:smartTag>
      <w:r>
        <w:rPr>
          <w:rFonts w:ascii="Times New Roman" w:hAnsi="Times New Roman"/>
          <w:b/>
          <w:sz w:val="32"/>
          <w:szCs w:val="32"/>
        </w:rPr>
        <w:t xml:space="preserve"> Public Utilities Commission with the assistance of </w:t>
      </w:r>
      <w:smartTag w:uri="urn:schemas-microsoft-com:office:smarttags" w:element="place">
        <w:smartTag w:uri="urn:schemas-microsoft-com:office:smarttags" w:element="State">
          <w:r>
            <w:rPr>
              <w:rFonts w:ascii="Times New Roman" w:hAnsi="Times New Roman"/>
              <w:b/>
              <w:sz w:val="32"/>
              <w:szCs w:val="32"/>
            </w:rPr>
            <w:t>California</w:t>
          </w:r>
        </w:smartTag>
      </w:smartTag>
      <w:r>
        <w:rPr>
          <w:rFonts w:ascii="Times New Roman" w:hAnsi="Times New Roman"/>
          <w:b/>
          <w:sz w:val="32"/>
          <w:szCs w:val="32"/>
        </w:rPr>
        <w:t xml:space="preserve"> Energy Commission Staff</w:t>
      </w:r>
    </w:p>
    <w:p w:rsidR="00AE7D50" w:rsidRDefault="00AE7D50">
      <w:pPr>
        <w:pStyle w:val="Subtitle"/>
        <w:rPr>
          <w:rFonts w:ascii="Times New Roman" w:hAnsi="Times New Roman"/>
          <w:b/>
          <w:sz w:val="32"/>
          <w:szCs w:val="32"/>
        </w:rPr>
      </w:pPr>
    </w:p>
    <w:p w:rsidR="00AE7D50" w:rsidRDefault="00AE7D50">
      <w:pPr>
        <w:pStyle w:val="Subtitle"/>
        <w:rPr>
          <w:rFonts w:ascii="Times New Roman" w:hAnsi="Times New Roman"/>
          <w:b/>
          <w:sz w:val="32"/>
          <w:szCs w:val="32"/>
        </w:rPr>
      </w:pPr>
    </w:p>
    <w:p w:rsidR="00AE7D50" w:rsidRDefault="00691252">
      <w:pPr>
        <w:pStyle w:val="Subtitle"/>
        <w:rPr>
          <w:rFonts w:ascii="Times New Roman" w:hAnsi="Times New Roman"/>
          <w:b/>
          <w:sz w:val="32"/>
          <w:szCs w:val="32"/>
        </w:rPr>
      </w:pPr>
      <w:r>
        <w:rPr>
          <w:rFonts w:ascii="Times New Roman" w:hAnsi="Times New Roman"/>
          <w:b/>
          <w:sz w:val="32"/>
          <w:szCs w:val="32"/>
        </w:rPr>
        <w:t xml:space="preserve">February </w:t>
      </w:r>
      <w:r w:rsidR="00E02059">
        <w:rPr>
          <w:rFonts w:ascii="Times New Roman" w:hAnsi="Times New Roman"/>
          <w:b/>
          <w:sz w:val="32"/>
          <w:szCs w:val="32"/>
        </w:rPr>
        <w:t>5</w:t>
      </w:r>
      <w:r w:rsidR="00960862">
        <w:rPr>
          <w:rFonts w:ascii="Times New Roman" w:hAnsi="Times New Roman"/>
          <w:b/>
          <w:sz w:val="32"/>
          <w:szCs w:val="32"/>
        </w:rPr>
        <w:t>, 2013</w:t>
      </w:r>
    </w:p>
    <w:p w:rsidR="00AE7D50" w:rsidRDefault="00AE7D50">
      <w:pPr>
        <w:spacing w:before="120"/>
      </w:pPr>
    </w:p>
    <w:p w:rsidR="00AE7D50" w:rsidRDefault="00AE7D50">
      <w:pPr>
        <w:spacing w:before="120"/>
        <w:jc w:val="center"/>
      </w:pPr>
    </w:p>
    <w:p w:rsidR="00AE7D50" w:rsidRDefault="00AE7D50">
      <w:pPr>
        <w:spacing w:before="120"/>
        <w:jc w:val="center"/>
      </w:pPr>
      <w:r>
        <w:t>Donald Brooks (CPUC)</w:t>
      </w:r>
    </w:p>
    <w:p w:rsidR="00AE7D50" w:rsidRDefault="00AE7D50">
      <w:pPr>
        <w:spacing w:before="120"/>
        <w:jc w:val="center"/>
      </w:pPr>
      <w:r>
        <w:t>Jaime Gannon (CPUC)</w:t>
      </w:r>
    </w:p>
    <w:p w:rsidR="00AE7D50" w:rsidRDefault="00AE7D50">
      <w:pPr>
        <w:spacing w:before="120"/>
        <w:jc w:val="center"/>
        <w:rPr>
          <w:b/>
          <w:sz w:val="36"/>
          <w:szCs w:val="36"/>
        </w:rPr>
      </w:pPr>
      <w:r>
        <w:br w:type="page"/>
      </w:r>
      <w:r>
        <w:rPr>
          <w:b/>
          <w:sz w:val="36"/>
          <w:szCs w:val="36"/>
        </w:rPr>
        <w:lastRenderedPageBreak/>
        <w:t>2011 Resource Adequacy Report</w:t>
      </w:r>
    </w:p>
    <w:p w:rsidR="00AE7D50" w:rsidRDefault="00AE7D50">
      <w:pPr>
        <w:pStyle w:val="Heading1"/>
        <w:numPr>
          <w:ilvl w:val="0"/>
          <w:numId w:val="0"/>
        </w:numPr>
        <w:spacing w:before="0"/>
      </w:pPr>
    </w:p>
    <w:p w:rsidR="00AE7D50" w:rsidRPr="00AD151D" w:rsidRDefault="00AE7D50">
      <w:pPr>
        <w:pStyle w:val="Heading1"/>
        <w:numPr>
          <w:ilvl w:val="0"/>
          <w:numId w:val="0"/>
        </w:numPr>
        <w:spacing w:before="0"/>
      </w:pPr>
      <w:bookmarkStart w:id="2" w:name="_Toc347827038"/>
      <w:r w:rsidRPr="00AD151D">
        <w:t>Table of Contents</w:t>
      </w:r>
      <w:bookmarkEnd w:id="0"/>
      <w:bookmarkEnd w:id="1"/>
      <w:bookmarkEnd w:id="2"/>
    </w:p>
    <w:p w:rsidR="00B3535E" w:rsidRDefault="00AE7D50">
      <w:pPr>
        <w:pStyle w:val="TOC1"/>
        <w:tabs>
          <w:tab w:val="right" w:leader="dot" w:pos="8630"/>
        </w:tabs>
        <w:rPr>
          <w:rFonts w:asciiTheme="minorHAnsi" w:eastAsiaTheme="minorEastAsia" w:hAnsiTheme="minorHAnsi" w:cstheme="minorBidi"/>
          <w:noProof/>
          <w:sz w:val="22"/>
          <w:szCs w:val="22"/>
        </w:rPr>
      </w:pPr>
      <w:r w:rsidRPr="00AD151D">
        <w:rPr>
          <w:b/>
        </w:rPr>
        <w:fldChar w:fldCharType="begin"/>
      </w:r>
      <w:r w:rsidRPr="00AD151D">
        <w:rPr>
          <w:b/>
        </w:rPr>
        <w:instrText xml:space="preserve"> TOC \o "1-3" </w:instrText>
      </w:r>
      <w:r w:rsidRPr="00AD151D">
        <w:rPr>
          <w:b/>
        </w:rPr>
        <w:fldChar w:fldCharType="separate"/>
      </w:r>
      <w:r w:rsidR="00B3535E">
        <w:rPr>
          <w:noProof/>
        </w:rPr>
        <w:t>Table of Contents</w:t>
      </w:r>
      <w:r w:rsidR="00B3535E">
        <w:rPr>
          <w:noProof/>
        </w:rPr>
        <w:tab/>
      </w:r>
      <w:r w:rsidR="00B3535E">
        <w:rPr>
          <w:noProof/>
        </w:rPr>
        <w:fldChar w:fldCharType="begin"/>
      </w:r>
      <w:r w:rsidR="00B3535E">
        <w:rPr>
          <w:noProof/>
        </w:rPr>
        <w:instrText xml:space="preserve"> PAGEREF _Toc347827038 \h </w:instrText>
      </w:r>
      <w:r w:rsidR="00B3535E">
        <w:rPr>
          <w:noProof/>
        </w:rPr>
      </w:r>
      <w:r w:rsidR="00B3535E">
        <w:rPr>
          <w:noProof/>
        </w:rPr>
        <w:fldChar w:fldCharType="separate"/>
      </w:r>
      <w:r w:rsidR="00B3535E">
        <w:rPr>
          <w:noProof/>
        </w:rPr>
        <w:t>1</w:t>
      </w:r>
      <w:r w:rsidR="00B3535E">
        <w:rPr>
          <w:noProof/>
        </w:rPr>
        <w:fldChar w:fldCharType="end"/>
      </w:r>
    </w:p>
    <w:p w:rsidR="00B3535E" w:rsidRDefault="00B3535E">
      <w:pPr>
        <w:pStyle w:val="TOC1"/>
        <w:tabs>
          <w:tab w:val="right" w:leader="dot" w:pos="8630"/>
        </w:tabs>
        <w:rPr>
          <w:rFonts w:asciiTheme="minorHAnsi" w:eastAsiaTheme="minorEastAsia" w:hAnsiTheme="minorHAnsi" w:cstheme="minorBidi"/>
          <w:noProof/>
          <w:sz w:val="22"/>
          <w:szCs w:val="22"/>
        </w:rPr>
      </w:pPr>
      <w:r>
        <w:rPr>
          <w:noProof/>
        </w:rPr>
        <w:t>Index of Tables</w:t>
      </w:r>
      <w:r>
        <w:rPr>
          <w:noProof/>
        </w:rPr>
        <w:tab/>
      </w:r>
      <w:r>
        <w:rPr>
          <w:noProof/>
        </w:rPr>
        <w:fldChar w:fldCharType="begin"/>
      </w:r>
      <w:r>
        <w:rPr>
          <w:noProof/>
        </w:rPr>
        <w:instrText xml:space="preserve"> PAGEREF _Toc347827039 \h </w:instrText>
      </w:r>
      <w:r>
        <w:rPr>
          <w:noProof/>
        </w:rPr>
      </w:r>
      <w:r>
        <w:rPr>
          <w:noProof/>
        </w:rPr>
        <w:fldChar w:fldCharType="separate"/>
      </w:r>
      <w:r>
        <w:rPr>
          <w:noProof/>
        </w:rPr>
        <w:t>2</w:t>
      </w:r>
      <w:r>
        <w:rPr>
          <w:noProof/>
        </w:rPr>
        <w:fldChar w:fldCharType="end"/>
      </w:r>
    </w:p>
    <w:p w:rsidR="00B3535E" w:rsidRDefault="00B3535E">
      <w:pPr>
        <w:pStyle w:val="TOC1"/>
        <w:tabs>
          <w:tab w:val="right" w:leader="dot" w:pos="8630"/>
        </w:tabs>
        <w:rPr>
          <w:rFonts w:asciiTheme="minorHAnsi" w:eastAsiaTheme="minorEastAsia" w:hAnsiTheme="minorHAnsi" w:cstheme="minorBidi"/>
          <w:noProof/>
          <w:sz w:val="22"/>
          <w:szCs w:val="22"/>
        </w:rPr>
      </w:pPr>
      <w:r>
        <w:rPr>
          <w:noProof/>
        </w:rPr>
        <w:t>Index of Figures</w:t>
      </w:r>
      <w:r>
        <w:rPr>
          <w:noProof/>
        </w:rPr>
        <w:tab/>
      </w:r>
      <w:r>
        <w:rPr>
          <w:noProof/>
        </w:rPr>
        <w:fldChar w:fldCharType="begin"/>
      </w:r>
      <w:r>
        <w:rPr>
          <w:noProof/>
        </w:rPr>
        <w:instrText xml:space="preserve"> PAGEREF _Toc347827040 \h </w:instrText>
      </w:r>
      <w:r>
        <w:rPr>
          <w:noProof/>
        </w:rPr>
      </w:r>
      <w:r>
        <w:rPr>
          <w:noProof/>
        </w:rPr>
        <w:fldChar w:fldCharType="separate"/>
      </w:r>
      <w:r>
        <w:rPr>
          <w:noProof/>
        </w:rPr>
        <w:t>2</w:t>
      </w:r>
      <w:r>
        <w:rPr>
          <w:noProof/>
        </w:rPr>
        <w:fldChar w:fldCharType="end"/>
      </w:r>
    </w:p>
    <w:p w:rsidR="00B3535E" w:rsidRDefault="00B3535E">
      <w:pPr>
        <w:pStyle w:val="TOC1"/>
        <w:tabs>
          <w:tab w:val="left" w:pos="480"/>
          <w:tab w:val="right" w:leader="dot" w:pos="8630"/>
        </w:tabs>
        <w:rPr>
          <w:rFonts w:asciiTheme="minorHAnsi" w:eastAsiaTheme="minorEastAsia" w:hAnsiTheme="minorHAnsi" w:cstheme="minorBidi"/>
          <w:noProof/>
          <w:sz w:val="22"/>
          <w:szCs w:val="22"/>
        </w:rPr>
      </w:pPr>
      <w:r w:rsidRPr="00BB345E">
        <w:rPr>
          <w:noProof/>
        </w:rPr>
        <w:t>1</w:t>
      </w:r>
      <w:r>
        <w:rPr>
          <w:rFonts w:asciiTheme="minorHAnsi" w:eastAsiaTheme="minorEastAsia" w:hAnsiTheme="minorHAnsi" w:cstheme="minorBidi"/>
          <w:noProof/>
          <w:sz w:val="22"/>
          <w:szCs w:val="22"/>
        </w:rPr>
        <w:tab/>
      </w:r>
      <w:r>
        <w:rPr>
          <w:noProof/>
        </w:rPr>
        <w:t>Executive Summary</w:t>
      </w:r>
      <w:r>
        <w:rPr>
          <w:noProof/>
        </w:rPr>
        <w:tab/>
      </w:r>
      <w:r>
        <w:rPr>
          <w:noProof/>
        </w:rPr>
        <w:fldChar w:fldCharType="begin"/>
      </w:r>
      <w:r>
        <w:rPr>
          <w:noProof/>
        </w:rPr>
        <w:instrText xml:space="preserve"> PAGEREF _Toc347827041 \h </w:instrText>
      </w:r>
      <w:r>
        <w:rPr>
          <w:noProof/>
        </w:rPr>
      </w:r>
      <w:r>
        <w:rPr>
          <w:noProof/>
        </w:rPr>
        <w:fldChar w:fldCharType="separate"/>
      </w:r>
      <w:r>
        <w:rPr>
          <w:noProof/>
        </w:rPr>
        <w:t>4</w:t>
      </w:r>
      <w:r>
        <w:rPr>
          <w:noProof/>
        </w:rPr>
        <w:fldChar w:fldCharType="end"/>
      </w:r>
    </w:p>
    <w:p w:rsidR="00B3535E" w:rsidRDefault="00B3535E">
      <w:pPr>
        <w:pStyle w:val="TOC1"/>
        <w:tabs>
          <w:tab w:val="left" w:pos="480"/>
          <w:tab w:val="right" w:leader="dot" w:pos="8630"/>
        </w:tabs>
        <w:rPr>
          <w:rFonts w:asciiTheme="minorHAnsi" w:eastAsiaTheme="minorEastAsia" w:hAnsiTheme="minorHAnsi" w:cstheme="minorBidi"/>
          <w:noProof/>
          <w:sz w:val="22"/>
          <w:szCs w:val="22"/>
        </w:rPr>
      </w:pPr>
      <w:r w:rsidRPr="00BB345E">
        <w:rPr>
          <w:noProof/>
        </w:rPr>
        <w:t>2</w:t>
      </w:r>
      <w:r>
        <w:rPr>
          <w:rFonts w:asciiTheme="minorHAnsi" w:eastAsiaTheme="minorEastAsia" w:hAnsiTheme="minorHAnsi" w:cstheme="minorBidi"/>
          <w:noProof/>
          <w:sz w:val="22"/>
          <w:szCs w:val="22"/>
        </w:rPr>
        <w:tab/>
      </w:r>
      <w:r>
        <w:rPr>
          <w:noProof/>
        </w:rPr>
        <w:t>Load Forecast and Resource Adequacy Program Requirements</w:t>
      </w:r>
      <w:r>
        <w:rPr>
          <w:noProof/>
        </w:rPr>
        <w:tab/>
      </w:r>
      <w:r>
        <w:rPr>
          <w:noProof/>
        </w:rPr>
        <w:fldChar w:fldCharType="begin"/>
      </w:r>
      <w:r>
        <w:rPr>
          <w:noProof/>
        </w:rPr>
        <w:instrText xml:space="preserve"> PAGEREF _Toc347827042 \h </w:instrText>
      </w:r>
      <w:r>
        <w:rPr>
          <w:noProof/>
        </w:rPr>
      </w:r>
      <w:r>
        <w:rPr>
          <w:noProof/>
        </w:rPr>
        <w:fldChar w:fldCharType="separate"/>
      </w:r>
      <w:r>
        <w:rPr>
          <w:noProof/>
        </w:rPr>
        <w:t>6</w:t>
      </w:r>
      <w:r>
        <w:rPr>
          <w:noProof/>
        </w:rPr>
        <w:fldChar w:fldCharType="end"/>
      </w:r>
    </w:p>
    <w:p w:rsidR="00B3535E" w:rsidRDefault="00B3535E">
      <w:pPr>
        <w:pStyle w:val="TOC2"/>
        <w:tabs>
          <w:tab w:val="left" w:pos="880"/>
          <w:tab w:val="right" w:leader="dot" w:pos="8630"/>
        </w:tabs>
        <w:rPr>
          <w:rFonts w:asciiTheme="minorHAnsi" w:eastAsiaTheme="minorEastAsia" w:hAnsiTheme="minorHAnsi" w:cstheme="minorBidi"/>
          <w:noProof/>
          <w:sz w:val="22"/>
          <w:szCs w:val="22"/>
        </w:rPr>
      </w:pPr>
      <w:r w:rsidRPr="00BB345E">
        <w:rPr>
          <w:noProof/>
        </w:rPr>
        <w:t>2.1</w:t>
      </w:r>
      <w:r>
        <w:rPr>
          <w:rFonts w:asciiTheme="minorHAnsi" w:eastAsiaTheme="minorEastAsia" w:hAnsiTheme="minorHAnsi" w:cstheme="minorBidi"/>
          <w:noProof/>
          <w:sz w:val="22"/>
          <w:szCs w:val="22"/>
        </w:rPr>
        <w:tab/>
      </w:r>
      <w:r w:rsidRPr="00BB345E">
        <w:rPr>
          <w:noProof/>
        </w:rPr>
        <w:t>Yearly and Monthly Load Forecast Process</w:t>
      </w:r>
      <w:r>
        <w:rPr>
          <w:noProof/>
        </w:rPr>
        <w:tab/>
      </w:r>
      <w:r>
        <w:rPr>
          <w:noProof/>
        </w:rPr>
        <w:fldChar w:fldCharType="begin"/>
      </w:r>
      <w:r>
        <w:rPr>
          <w:noProof/>
        </w:rPr>
        <w:instrText xml:space="preserve"> PAGEREF _Toc347827043 \h </w:instrText>
      </w:r>
      <w:r>
        <w:rPr>
          <w:noProof/>
        </w:rPr>
      </w:r>
      <w:r>
        <w:rPr>
          <w:noProof/>
        </w:rPr>
        <w:fldChar w:fldCharType="separate"/>
      </w:r>
      <w:r>
        <w:rPr>
          <w:noProof/>
        </w:rPr>
        <w:t>6</w:t>
      </w:r>
      <w:r>
        <w:rPr>
          <w:noProof/>
        </w:rPr>
        <w:fldChar w:fldCharType="end"/>
      </w:r>
    </w:p>
    <w:p w:rsidR="00B3535E" w:rsidRDefault="00B3535E">
      <w:pPr>
        <w:pStyle w:val="TOC3"/>
        <w:tabs>
          <w:tab w:val="left" w:pos="1320"/>
          <w:tab w:val="right" w:leader="dot" w:pos="8630"/>
        </w:tabs>
        <w:rPr>
          <w:rFonts w:asciiTheme="minorHAnsi" w:eastAsiaTheme="minorEastAsia" w:hAnsiTheme="minorHAnsi" w:cstheme="minorBidi"/>
          <w:noProof/>
          <w:sz w:val="22"/>
          <w:szCs w:val="22"/>
        </w:rPr>
      </w:pPr>
      <w:r w:rsidRPr="00BB345E">
        <w:rPr>
          <w:noProof/>
        </w:rPr>
        <w:t>2.1.1</w:t>
      </w:r>
      <w:r>
        <w:rPr>
          <w:rFonts w:asciiTheme="minorHAnsi" w:eastAsiaTheme="minorEastAsia" w:hAnsiTheme="minorHAnsi" w:cstheme="minorBidi"/>
          <w:noProof/>
          <w:sz w:val="22"/>
          <w:szCs w:val="22"/>
        </w:rPr>
        <w:tab/>
      </w:r>
      <w:r>
        <w:rPr>
          <w:noProof/>
        </w:rPr>
        <w:t>Yearly Load Forecast Results</w:t>
      </w:r>
      <w:r>
        <w:rPr>
          <w:noProof/>
        </w:rPr>
        <w:tab/>
      </w:r>
      <w:r>
        <w:rPr>
          <w:noProof/>
        </w:rPr>
        <w:fldChar w:fldCharType="begin"/>
      </w:r>
      <w:r>
        <w:rPr>
          <w:noProof/>
        </w:rPr>
        <w:instrText xml:space="preserve"> PAGEREF _Toc347827044 \h </w:instrText>
      </w:r>
      <w:r>
        <w:rPr>
          <w:noProof/>
        </w:rPr>
      </w:r>
      <w:r>
        <w:rPr>
          <w:noProof/>
        </w:rPr>
        <w:fldChar w:fldCharType="separate"/>
      </w:r>
      <w:r>
        <w:rPr>
          <w:noProof/>
        </w:rPr>
        <w:t>7</w:t>
      </w:r>
      <w:r>
        <w:rPr>
          <w:noProof/>
        </w:rPr>
        <w:fldChar w:fldCharType="end"/>
      </w:r>
    </w:p>
    <w:p w:rsidR="00B3535E" w:rsidRDefault="00B3535E">
      <w:pPr>
        <w:pStyle w:val="TOC3"/>
        <w:tabs>
          <w:tab w:val="left" w:pos="1320"/>
          <w:tab w:val="right" w:leader="dot" w:pos="8630"/>
        </w:tabs>
        <w:rPr>
          <w:rFonts w:asciiTheme="minorHAnsi" w:eastAsiaTheme="minorEastAsia" w:hAnsiTheme="minorHAnsi" w:cstheme="minorBidi"/>
          <w:noProof/>
          <w:sz w:val="22"/>
          <w:szCs w:val="22"/>
        </w:rPr>
      </w:pPr>
      <w:r w:rsidRPr="00BB345E">
        <w:rPr>
          <w:noProof/>
        </w:rPr>
        <w:t>2.1.2</w:t>
      </w:r>
      <w:r>
        <w:rPr>
          <w:rFonts w:asciiTheme="minorHAnsi" w:eastAsiaTheme="minorEastAsia" w:hAnsiTheme="minorHAnsi" w:cstheme="minorBidi"/>
          <w:noProof/>
          <w:sz w:val="22"/>
          <w:szCs w:val="22"/>
        </w:rPr>
        <w:tab/>
      </w:r>
      <w:r>
        <w:rPr>
          <w:noProof/>
        </w:rPr>
        <w:t>Monthly Load Migration Adjustments</w:t>
      </w:r>
      <w:r>
        <w:rPr>
          <w:noProof/>
        </w:rPr>
        <w:tab/>
      </w:r>
      <w:r>
        <w:rPr>
          <w:noProof/>
        </w:rPr>
        <w:fldChar w:fldCharType="begin"/>
      </w:r>
      <w:r>
        <w:rPr>
          <w:noProof/>
        </w:rPr>
        <w:instrText xml:space="preserve"> PAGEREF _Toc347827045 \h </w:instrText>
      </w:r>
      <w:r>
        <w:rPr>
          <w:noProof/>
        </w:rPr>
      </w:r>
      <w:r>
        <w:rPr>
          <w:noProof/>
        </w:rPr>
        <w:fldChar w:fldCharType="separate"/>
      </w:r>
      <w:r>
        <w:rPr>
          <w:noProof/>
        </w:rPr>
        <w:t>8</w:t>
      </w:r>
      <w:r>
        <w:rPr>
          <w:noProof/>
        </w:rPr>
        <w:fldChar w:fldCharType="end"/>
      </w:r>
    </w:p>
    <w:p w:rsidR="00B3535E" w:rsidRDefault="00B3535E">
      <w:pPr>
        <w:pStyle w:val="TOC2"/>
        <w:tabs>
          <w:tab w:val="left" w:pos="880"/>
          <w:tab w:val="right" w:leader="dot" w:pos="8630"/>
        </w:tabs>
        <w:rPr>
          <w:rFonts w:asciiTheme="minorHAnsi" w:eastAsiaTheme="minorEastAsia" w:hAnsiTheme="minorHAnsi" w:cstheme="minorBidi"/>
          <w:noProof/>
          <w:sz w:val="22"/>
          <w:szCs w:val="22"/>
        </w:rPr>
      </w:pPr>
      <w:r w:rsidRPr="00BB345E">
        <w:rPr>
          <w:noProof/>
        </w:rPr>
        <w:t>2.2</w:t>
      </w:r>
      <w:r>
        <w:rPr>
          <w:rFonts w:asciiTheme="minorHAnsi" w:eastAsiaTheme="minorEastAsia" w:hAnsiTheme="minorHAnsi" w:cstheme="minorBidi"/>
          <w:noProof/>
          <w:sz w:val="22"/>
          <w:szCs w:val="22"/>
        </w:rPr>
        <w:tab/>
      </w:r>
      <w:r w:rsidRPr="00BB345E">
        <w:rPr>
          <w:noProof/>
        </w:rPr>
        <w:t>System RA Requirements - CPUC Jurisdictional LSEs</w:t>
      </w:r>
      <w:r>
        <w:rPr>
          <w:noProof/>
        </w:rPr>
        <w:tab/>
      </w:r>
      <w:r>
        <w:rPr>
          <w:noProof/>
        </w:rPr>
        <w:fldChar w:fldCharType="begin"/>
      </w:r>
      <w:r>
        <w:rPr>
          <w:noProof/>
        </w:rPr>
        <w:instrText xml:space="preserve"> PAGEREF _Toc347827046 \h </w:instrText>
      </w:r>
      <w:r>
        <w:rPr>
          <w:noProof/>
        </w:rPr>
      </w:r>
      <w:r>
        <w:rPr>
          <w:noProof/>
        </w:rPr>
        <w:fldChar w:fldCharType="separate"/>
      </w:r>
      <w:r>
        <w:rPr>
          <w:noProof/>
        </w:rPr>
        <w:t>9</w:t>
      </w:r>
      <w:r>
        <w:rPr>
          <w:noProof/>
        </w:rPr>
        <w:fldChar w:fldCharType="end"/>
      </w:r>
    </w:p>
    <w:p w:rsidR="00B3535E" w:rsidRDefault="00B3535E">
      <w:pPr>
        <w:pStyle w:val="TOC2"/>
        <w:tabs>
          <w:tab w:val="left" w:pos="880"/>
          <w:tab w:val="right" w:leader="dot" w:pos="8630"/>
        </w:tabs>
        <w:rPr>
          <w:rFonts w:asciiTheme="minorHAnsi" w:eastAsiaTheme="minorEastAsia" w:hAnsiTheme="minorHAnsi" w:cstheme="minorBidi"/>
          <w:noProof/>
          <w:sz w:val="22"/>
          <w:szCs w:val="22"/>
        </w:rPr>
      </w:pPr>
      <w:r w:rsidRPr="00BB345E">
        <w:rPr>
          <w:noProof/>
        </w:rPr>
        <w:t>2.3</w:t>
      </w:r>
      <w:r>
        <w:rPr>
          <w:rFonts w:asciiTheme="minorHAnsi" w:eastAsiaTheme="minorEastAsia" w:hAnsiTheme="minorHAnsi" w:cstheme="minorBidi"/>
          <w:noProof/>
          <w:sz w:val="22"/>
          <w:szCs w:val="22"/>
        </w:rPr>
        <w:tab/>
      </w:r>
      <w:r w:rsidRPr="00BB345E">
        <w:rPr>
          <w:noProof/>
        </w:rPr>
        <w:t>Local RA Program – CPUC Jurisdictional LSEs</w:t>
      </w:r>
      <w:r>
        <w:rPr>
          <w:noProof/>
        </w:rPr>
        <w:tab/>
      </w:r>
      <w:r>
        <w:rPr>
          <w:noProof/>
        </w:rPr>
        <w:fldChar w:fldCharType="begin"/>
      </w:r>
      <w:r>
        <w:rPr>
          <w:noProof/>
        </w:rPr>
        <w:instrText xml:space="preserve"> PAGEREF _Toc347827047 \h </w:instrText>
      </w:r>
      <w:r>
        <w:rPr>
          <w:noProof/>
        </w:rPr>
      </w:r>
      <w:r>
        <w:rPr>
          <w:noProof/>
        </w:rPr>
        <w:fldChar w:fldCharType="separate"/>
      </w:r>
      <w:r>
        <w:rPr>
          <w:noProof/>
        </w:rPr>
        <w:t>10</w:t>
      </w:r>
      <w:r>
        <w:rPr>
          <w:noProof/>
        </w:rPr>
        <w:fldChar w:fldCharType="end"/>
      </w:r>
    </w:p>
    <w:p w:rsidR="00B3535E" w:rsidRDefault="00B3535E">
      <w:pPr>
        <w:pStyle w:val="TOC3"/>
        <w:tabs>
          <w:tab w:val="left" w:pos="1320"/>
          <w:tab w:val="right" w:leader="dot" w:pos="8630"/>
        </w:tabs>
        <w:rPr>
          <w:rFonts w:asciiTheme="minorHAnsi" w:eastAsiaTheme="minorEastAsia" w:hAnsiTheme="minorHAnsi" w:cstheme="minorBidi"/>
          <w:noProof/>
          <w:sz w:val="22"/>
          <w:szCs w:val="22"/>
        </w:rPr>
      </w:pPr>
      <w:r w:rsidRPr="00BB345E">
        <w:rPr>
          <w:noProof/>
        </w:rPr>
        <w:t>2.3.1</w:t>
      </w:r>
      <w:r>
        <w:rPr>
          <w:rFonts w:asciiTheme="minorHAnsi" w:eastAsiaTheme="minorEastAsia" w:hAnsiTheme="minorHAnsi" w:cstheme="minorBidi"/>
          <w:noProof/>
          <w:sz w:val="22"/>
          <w:szCs w:val="22"/>
        </w:rPr>
        <w:tab/>
      </w:r>
      <w:r>
        <w:rPr>
          <w:noProof/>
        </w:rPr>
        <w:t>Year Ahead Local RA Procurement</w:t>
      </w:r>
      <w:r>
        <w:rPr>
          <w:noProof/>
        </w:rPr>
        <w:tab/>
      </w:r>
      <w:r>
        <w:rPr>
          <w:noProof/>
        </w:rPr>
        <w:fldChar w:fldCharType="begin"/>
      </w:r>
      <w:r>
        <w:rPr>
          <w:noProof/>
        </w:rPr>
        <w:instrText xml:space="preserve"> PAGEREF _Toc347827048 \h </w:instrText>
      </w:r>
      <w:r>
        <w:rPr>
          <w:noProof/>
        </w:rPr>
      </w:r>
      <w:r>
        <w:rPr>
          <w:noProof/>
        </w:rPr>
        <w:fldChar w:fldCharType="separate"/>
      </w:r>
      <w:r>
        <w:rPr>
          <w:noProof/>
        </w:rPr>
        <w:t>10</w:t>
      </w:r>
      <w:r>
        <w:rPr>
          <w:noProof/>
        </w:rPr>
        <w:fldChar w:fldCharType="end"/>
      </w:r>
    </w:p>
    <w:p w:rsidR="00B3535E" w:rsidRDefault="00B3535E">
      <w:pPr>
        <w:pStyle w:val="TOC3"/>
        <w:tabs>
          <w:tab w:val="left" w:pos="1320"/>
          <w:tab w:val="right" w:leader="dot" w:pos="8630"/>
        </w:tabs>
        <w:rPr>
          <w:rFonts w:asciiTheme="minorHAnsi" w:eastAsiaTheme="minorEastAsia" w:hAnsiTheme="minorHAnsi" w:cstheme="minorBidi"/>
          <w:noProof/>
          <w:sz w:val="22"/>
          <w:szCs w:val="22"/>
        </w:rPr>
      </w:pPr>
      <w:r w:rsidRPr="00BB345E">
        <w:rPr>
          <w:noProof/>
        </w:rPr>
        <w:t>2.3.2</w:t>
      </w:r>
      <w:r>
        <w:rPr>
          <w:rFonts w:asciiTheme="minorHAnsi" w:eastAsiaTheme="minorEastAsia" w:hAnsiTheme="minorHAnsi" w:cstheme="minorBidi"/>
          <w:noProof/>
          <w:sz w:val="22"/>
          <w:szCs w:val="22"/>
        </w:rPr>
        <w:tab/>
      </w:r>
      <w:r>
        <w:rPr>
          <w:noProof/>
        </w:rPr>
        <w:t>Local RA True-ups</w:t>
      </w:r>
      <w:r>
        <w:rPr>
          <w:noProof/>
        </w:rPr>
        <w:tab/>
      </w:r>
      <w:r>
        <w:rPr>
          <w:noProof/>
        </w:rPr>
        <w:fldChar w:fldCharType="begin"/>
      </w:r>
      <w:r>
        <w:rPr>
          <w:noProof/>
        </w:rPr>
        <w:instrText xml:space="preserve"> PAGEREF _Toc347827049 \h </w:instrText>
      </w:r>
      <w:r>
        <w:rPr>
          <w:noProof/>
        </w:rPr>
      </w:r>
      <w:r>
        <w:rPr>
          <w:noProof/>
        </w:rPr>
        <w:fldChar w:fldCharType="separate"/>
      </w:r>
      <w:r>
        <w:rPr>
          <w:noProof/>
        </w:rPr>
        <w:t>11</w:t>
      </w:r>
      <w:r>
        <w:rPr>
          <w:noProof/>
        </w:rPr>
        <w:fldChar w:fldCharType="end"/>
      </w:r>
    </w:p>
    <w:p w:rsidR="00B3535E" w:rsidRDefault="00B3535E">
      <w:pPr>
        <w:pStyle w:val="TOC2"/>
        <w:tabs>
          <w:tab w:val="left" w:pos="880"/>
          <w:tab w:val="right" w:leader="dot" w:pos="8630"/>
        </w:tabs>
        <w:rPr>
          <w:rFonts w:asciiTheme="minorHAnsi" w:eastAsiaTheme="minorEastAsia" w:hAnsiTheme="minorHAnsi" w:cstheme="minorBidi"/>
          <w:noProof/>
          <w:sz w:val="22"/>
          <w:szCs w:val="22"/>
        </w:rPr>
      </w:pPr>
      <w:r w:rsidRPr="00BB345E">
        <w:rPr>
          <w:noProof/>
        </w:rPr>
        <w:t>2.4</w:t>
      </w:r>
      <w:r>
        <w:rPr>
          <w:rFonts w:asciiTheme="minorHAnsi" w:eastAsiaTheme="minorEastAsia" w:hAnsiTheme="minorHAnsi" w:cstheme="minorBidi"/>
          <w:noProof/>
          <w:sz w:val="22"/>
          <w:szCs w:val="22"/>
        </w:rPr>
        <w:tab/>
      </w:r>
      <w:r w:rsidRPr="00BB345E">
        <w:rPr>
          <w:noProof/>
        </w:rPr>
        <w:t>Total RA Resources Available to the CAISO</w:t>
      </w:r>
      <w:r>
        <w:rPr>
          <w:noProof/>
        </w:rPr>
        <w:tab/>
      </w:r>
      <w:r>
        <w:rPr>
          <w:noProof/>
        </w:rPr>
        <w:fldChar w:fldCharType="begin"/>
      </w:r>
      <w:r>
        <w:rPr>
          <w:noProof/>
        </w:rPr>
        <w:instrText xml:space="preserve"> PAGEREF _Toc347827050 \h </w:instrText>
      </w:r>
      <w:r>
        <w:rPr>
          <w:noProof/>
        </w:rPr>
      </w:r>
      <w:r>
        <w:rPr>
          <w:noProof/>
        </w:rPr>
        <w:fldChar w:fldCharType="separate"/>
      </w:r>
      <w:r>
        <w:rPr>
          <w:noProof/>
        </w:rPr>
        <w:t>12</w:t>
      </w:r>
      <w:r>
        <w:rPr>
          <w:noProof/>
        </w:rPr>
        <w:fldChar w:fldCharType="end"/>
      </w:r>
    </w:p>
    <w:p w:rsidR="00B3535E" w:rsidRDefault="00B3535E">
      <w:pPr>
        <w:pStyle w:val="TOC1"/>
        <w:tabs>
          <w:tab w:val="left" w:pos="480"/>
          <w:tab w:val="right" w:leader="dot" w:pos="8630"/>
        </w:tabs>
        <w:rPr>
          <w:rFonts w:asciiTheme="minorHAnsi" w:eastAsiaTheme="minorEastAsia" w:hAnsiTheme="minorHAnsi" w:cstheme="minorBidi"/>
          <w:noProof/>
          <w:sz w:val="22"/>
          <w:szCs w:val="22"/>
        </w:rPr>
      </w:pPr>
      <w:r w:rsidRPr="00BB345E">
        <w:rPr>
          <w:noProof/>
        </w:rPr>
        <w:t>3</w:t>
      </w:r>
      <w:r>
        <w:rPr>
          <w:rFonts w:asciiTheme="minorHAnsi" w:eastAsiaTheme="minorEastAsia" w:hAnsiTheme="minorHAnsi" w:cstheme="minorBidi"/>
          <w:noProof/>
          <w:sz w:val="22"/>
          <w:szCs w:val="22"/>
        </w:rPr>
        <w:tab/>
      </w:r>
      <w:r>
        <w:rPr>
          <w:noProof/>
        </w:rPr>
        <w:t>Process for Determining NQC of RA Resources</w:t>
      </w:r>
      <w:r>
        <w:rPr>
          <w:noProof/>
        </w:rPr>
        <w:tab/>
      </w:r>
      <w:r>
        <w:rPr>
          <w:noProof/>
        </w:rPr>
        <w:fldChar w:fldCharType="begin"/>
      </w:r>
      <w:r>
        <w:rPr>
          <w:noProof/>
        </w:rPr>
        <w:instrText xml:space="preserve"> PAGEREF _Toc347827051 \h </w:instrText>
      </w:r>
      <w:r>
        <w:rPr>
          <w:noProof/>
        </w:rPr>
      </w:r>
      <w:r>
        <w:rPr>
          <w:noProof/>
        </w:rPr>
        <w:fldChar w:fldCharType="separate"/>
      </w:r>
      <w:r>
        <w:rPr>
          <w:noProof/>
        </w:rPr>
        <w:t>13</w:t>
      </w:r>
      <w:r>
        <w:rPr>
          <w:noProof/>
        </w:rPr>
        <w:fldChar w:fldCharType="end"/>
      </w:r>
    </w:p>
    <w:p w:rsidR="00B3535E" w:rsidRDefault="00B3535E">
      <w:pPr>
        <w:pStyle w:val="TOC2"/>
        <w:tabs>
          <w:tab w:val="left" w:pos="880"/>
          <w:tab w:val="right" w:leader="dot" w:pos="8630"/>
        </w:tabs>
        <w:rPr>
          <w:rFonts w:asciiTheme="minorHAnsi" w:eastAsiaTheme="minorEastAsia" w:hAnsiTheme="minorHAnsi" w:cstheme="minorBidi"/>
          <w:noProof/>
          <w:sz w:val="22"/>
          <w:szCs w:val="22"/>
        </w:rPr>
      </w:pPr>
      <w:r w:rsidRPr="00BB345E">
        <w:rPr>
          <w:noProof/>
        </w:rPr>
        <w:t>3.1</w:t>
      </w:r>
      <w:r>
        <w:rPr>
          <w:rFonts w:asciiTheme="minorHAnsi" w:eastAsiaTheme="minorEastAsia" w:hAnsiTheme="minorHAnsi" w:cstheme="minorBidi"/>
          <w:noProof/>
          <w:sz w:val="22"/>
          <w:szCs w:val="22"/>
        </w:rPr>
        <w:tab/>
      </w:r>
      <w:r w:rsidRPr="00BB345E">
        <w:rPr>
          <w:noProof/>
        </w:rPr>
        <w:t>Establishment of Final NQC Values</w:t>
      </w:r>
      <w:r>
        <w:rPr>
          <w:noProof/>
        </w:rPr>
        <w:tab/>
      </w:r>
      <w:r>
        <w:rPr>
          <w:noProof/>
        </w:rPr>
        <w:fldChar w:fldCharType="begin"/>
      </w:r>
      <w:r>
        <w:rPr>
          <w:noProof/>
        </w:rPr>
        <w:instrText xml:space="preserve"> PAGEREF _Toc347827052 \h </w:instrText>
      </w:r>
      <w:r>
        <w:rPr>
          <w:noProof/>
        </w:rPr>
      </w:r>
      <w:r>
        <w:rPr>
          <w:noProof/>
        </w:rPr>
        <w:fldChar w:fldCharType="separate"/>
      </w:r>
      <w:r>
        <w:rPr>
          <w:noProof/>
        </w:rPr>
        <w:t>14</w:t>
      </w:r>
      <w:r>
        <w:rPr>
          <w:noProof/>
        </w:rPr>
        <w:fldChar w:fldCharType="end"/>
      </w:r>
    </w:p>
    <w:p w:rsidR="00B3535E" w:rsidRDefault="00B3535E">
      <w:pPr>
        <w:pStyle w:val="TOC2"/>
        <w:tabs>
          <w:tab w:val="left" w:pos="880"/>
          <w:tab w:val="right" w:leader="dot" w:pos="8630"/>
        </w:tabs>
        <w:rPr>
          <w:rFonts w:asciiTheme="minorHAnsi" w:eastAsiaTheme="minorEastAsia" w:hAnsiTheme="minorHAnsi" w:cstheme="minorBidi"/>
          <w:noProof/>
          <w:sz w:val="22"/>
          <w:szCs w:val="22"/>
        </w:rPr>
      </w:pPr>
      <w:r w:rsidRPr="00BB345E">
        <w:rPr>
          <w:noProof/>
        </w:rPr>
        <w:t>3.2</w:t>
      </w:r>
      <w:r>
        <w:rPr>
          <w:rFonts w:asciiTheme="minorHAnsi" w:eastAsiaTheme="minorEastAsia" w:hAnsiTheme="minorHAnsi" w:cstheme="minorBidi"/>
          <w:noProof/>
          <w:sz w:val="22"/>
          <w:szCs w:val="22"/>
        </w:rPr>
        <w:tab/>
      </w:r>
      <w:r w:rsidRPr="00BB345E">
        <w:rPr>
          <w:noProof/>
        </w:rPr>
        <w:t>Aggregate NQC Values 2006 through 2011</w:t>
      </w:r>
      <w:r>
        <w:rPr>
          <w:noProof/>
        </w:rPr>
        <w:tab/>
      </w:r>
      <w:r>
        <w:rPr>
          <w:noProof/>
        </w:rPr>
        <w:fldChar w:fldCharType="begin"/>
      </w:r>
      <w:r>
        <w:rPr>
          <w:noProof/>
        </w:rPr>
        <w:instrText xml:space="preserve"> PAGEREF _Toc347827053 \h </w:instrText>
      </w:r>
      <w:r>
        <w:rPr>
          <w:noProof/>
        </w:rPr>
      </w:r>
      <w:r>
        <w:rPr>
          <w:noProof/>
        </w:rPr>
        <w:fldChar w:fldCharType="separate"/>
      </w:r>
      <w:r>
        <w:rPr>
          <w:noProof/>
        </w:rPr>
        <w:t>15</w:t>
      </w:r>
      <w:r>
        <w:rPr>
          <w:noProof/>
        </w:rPr>
        <w:fldChar w:fldCharType="end"/>
      </w:r>
    </w:p>
    <w:p w:rsidR="00B3535E" w:rsidRDefault="00B3535E">
      <w:pPr>
        <w:pStyle w:val="TOC2"/>
        <w:tabs>
          <w:tab w:val="left" w:pos="880"/>
          <w:tab w:val="right" w:leader="dot" w:pos="8630"/>
        </w:tabs>
        <w:rPr>
          <w:rFonts w:asciiTheme="minorHAnsi" w:eastAsiaTheme="minorEastAsia" w:hAnsiTheme="minorHAnsi" w:cstheme="minorBidi"/>
          <w:noProof/>
          <w:sz w:val="22"/>
          <w:szCs w:val="22"/>
        </w:rPr>
      </w:pPr>
      <w:r w:rsidRPr="00BB345E">
        <w:rPr>
          <w:noProof/>
        </w:rPr>
        <w:t>3.3</w:t>
      </w:r>
      <w:r>
        <w:rPr>
          <w:rFonts w:asciiTheme="minorHAnsi" w:eastAsiaTheme="minorEastAsia" w:hAnsiTheme="minorHAnsi" w:cstheme="minorBidi"/>
          <w:noProof/>
          <w:sz w:val="22"/>
          <w:szCs w:val="22"/>
        </w:rPr>
        <w:tab/>
      </w:r>
      <w:r w:rsidRPr="00BB345E">
        <w:rPr>
          <w:noProof/>
        </w:rPr>
        <w:t>Allocation of Import Capability for RA</w:t>
      </w:r>
      <w:r>
        <w:rPr>
          <w:noProof/>
        </w:rPr>
        <w:tab/>
      </w:r>
      <w:r>
        <w:rPr>
          <w:noProof/>
        </w:rPr>
        <w:fldChar w:fldCharType="begin"/>
      </w:r>
      <w:r>
        <w:rPr>
          <w:noProof/>
        </w:rPr>
        <w:instrText xml:space="preserve"> PAGEREF _Toc347827054 \h </w:instrText>
      </w:r>
      <w:r>
        <w:rPr>
          <w:noProof/>
        </w:rPr>
      </w:r>
      <w:r>
        <w:rPr>
          <w:noProof/>
        </w:rPr>
        <w:fldChar w:fldCharType="separate"/>
      </w:r>
      <w:r>
        <w:rPr>
          <w:noProof/>
        </w:rPr>
        <w:t>15</w:t>
      </w:r>
      <w:r>
        <w:rPr>
          <w:noProof/>
        </w:rPr>
        <w:fldChar w:fldCharType="end"/>
      </w:r>
    </w:p>
    <w:p w:rsidR="00B3535E" w:rsidRDefault="00B3535E">
      <w:pPr>
        <w:pStyle w:val="TOC1"/>
        <w:tabs>
          <w:tab w:val="left" w:pos="480"/>
          <w:tab w:val="right" w:leader="dot" w:pos="8630"/>
        </w:tabs>
        <w:rPr>
          <w:rFonts w:asciiTheme="minorHAnsi" w:eastAsiaTheme="minorEastAsia" w:hAnsiTheme="minorHAnsi" w:cstheme="minorBidi"/>
          <w:noProof/>
          <w:sz w:val="22"/>
          <w:szCs w:val="22"/>
        </w:rPr>
      </w:pPr>
      <w:r w:rsidRPr="00BB345E">
        <w:rPr>
          <w:noProof/>
        </w:rPr>
        <w:t>4</w:t>
      </w:r>
      <w:r>
        <w:rPr>
          <w:rFonts w:asciiTheme="minorHAnsi" w:eastAsiaTheme="minorEastAsia" w:hAnsiTheme="minorHAnsi" w:cstheme="minorBidi"/>
          <w:noProof/>
          <w:sz w:val="22"/>
          <w:szCs w:val="22"/>
        </w:rPr>
        <w:tab/>
      </w:r>
      <w:r>
        <w:rPr>
          <w:noProof/>
        </w:rPr>
        <w:t>Commitment, Dispatch, and Pricing of RA Resources</w:t>
      </w:r>
      <w:r>
        <w:rPr>
          <w:noProof/>
        </w:rPr>
        <w:tab/>
      </w:r>
      <w:r>
        <w:rPr>
          <w:noProof/>
        </w:rPr>
        <w:fldChar w:fldCharType="begin"/>
      </w:r>
      <w:r>
        <w:rPr>
          <w:noProof/>
        </w:rPr>
        <w:instrText xml:space="preserve"> PAGEREF _Toc347827055 \h </w:instrText>
      </w:r>
      <w:r>
        <w:rPr>
          <w:noProof/>
        </w:rPr>
      </w:r>
      <w:r>
        <w:rPr>
          <w:noProof/>
        </w:rPr>
        <w:fldChar w:fldCharType="separate"/>
      </w:r>
      <w:r>
        <w:rPr>
          <w:noProof/>
        </w:rPr>
        <w:t>16</w:t>
      </w:r>
      <w:r>
        <w:rPr>
          <w:noProof/>
        </w:rPr>
        <w:fldChar w:fldCharType="end"/>
      </w:r>
    </w:p>
    <w:p w:rsidR="00B3535E" w:rsidRDefault="00B3535E">
      <w:pPr>
        <w:pStyle w:val="TOC2"/>
        <w:tabs>
          <w:tab w:val="left" w:pos="880"/>
          <w:tab w:val="right" w:leader="dot" w:pos="8630"/>
        </w:tabs>
        <w:rPr>
          <w:rFonts w:asciiTheme="minorHAnsi" w:eastAsiaTheme="minorEastAsia" w:hAnsiTheme="minorHAnsi" w:cstheme="minorBidi"/>
          <w:noProof/>
          <w:sz w:val="22"/>
          <w:szCs w:val="22"/>
        </w:rPr>
      </w:pPr>
      <w:r w:rsidRPr="00BB345E">
        <w:rPr>
          <w:noProof/>
        </w:rPr>
        <w:t>4.1</w:t>
      </w:r>
      <w:r>
        <w:rPr>
          <w:rFonts w:asciiTheme="minorHAnsi" w:eastAsiaTheme="minorEastAsia" w:hAnsiTheme="minorHAnsi" w:cstheme="minorBidi"/>
          <w:noProof/>
          <w:sz w:val="22"/>
          <w:szCs w:val="22"/>
        </w:rPr>
        <w:tab/>
      </w:r>
      <w:r w:rsidRPr="00BB345E">
        <w:rPr>
          <w:noProof/>
        </w:rPr>
        <w:t>Trends in Exceptional Dispatch by MWh volume</w:t>
      </w:r>
      <w:r>
        <w:rPr>
          <w:noProof/>
        </w:rPr>
        <w:tab/>
      </w:r>
      <w:r>
        <w:rPr>
          <w:noProof/>
        </w:rPr>
        <w:fldChar w:fldCharType="begin"/>
      </w:r>
      <w:r>
        <w:rPr>
          <w:noProof/>
        </w:rPr>
        <w:instrText xml:space="preserve"> PAGEREF _Toc347827056 \h </w:instrText>
      </w:r>
      <w:r>
        <w:rPr>
          <w:noProof/>
        </w:rPr>
      </w:r>
      <w:r>
        <w:rPr>
          <w:noProof/>
        </w:rPr>
        <w:fldChar w:fldCharType="separate"/>
      </w:r>
      <w:r>
        <w:rPr>
          <w:noProof/>
        </w:rPr>
        <w:t>17</w:t>
      </w:r>
      <w:r>
        <w:rPr>
          <w:noProof/>
        </w:rPr>
        <w:fldChar w:fldCharType="end"/>
      </w:r>
    </w:p>
    <w:p w:rsidR="00B3535E" w:rsidRDefault="00B3535E">
      <w:pPr>
        <w:pStyle w:val="TOC3"/>
        <w:tabs>
          <w:tab w:val="left" w:pos="1320"/>
          <w:tab w:val="right" w:leader="dot" w:pos="8630"/>
        </w:tabs>
        <w:rPr>
          <w:rFonts w:asciiTheme="minorHAnsi" w:eastAsiaTheme="minorEastAsia" w:hAnsiTheme="minorHAnsi" w:cstheme="minorBidi"/>
          <w:noProof/>
          <w:sz w:val="22"/>
          <w:szCs w:val="22"/>
        </w:rPr>
      </w:pPr>
      <w:r w:rsidRPr="00BB345E">
        <w:rPr>
          <w:noProof/>
        </w:rPr>
        <w:t>4.1.1</w:t>
      </w:r>
      <w:r>
        <w:rPr>
          <w:rFonts w:asciiTheme="minorHAnsi" w:eastAsiaTheme="minorEastAsia" w:hAnsiTheme="minorHAnsi" w:cstheme="minorBidi"/>
          <w:noProof/>
          <w:sz w:val="22"/>
          <w:szCs w:val="22"/>
        </w:rPr>
        <w:tab/>
      </w:r>
      <w:r>
        <w:rPr>
          <w:noProof/>
        </w:rPr>
        <w:t>Trends in ExD by Local Area</w:t>
      </w:r>
      <w:r>
        <w:rPr>
          <w:noProof/>
        </w:rPr>
        <w:tab/>
      </w:r>
      <w:r>
        <w:rPr>
          <w:noProof/>
        </w:rPr>
        <w:fldChar w:fldCharType="begin"/>
      </w:r>
      <w:r>
        <w:rPr>
          <w:noProof/>
        </w:rPr>
        <w:instrText xml:space="preserve"> PAGEREF _Toc347827057 \h </w:instrText>
      </w:r>
      <w:r>
        <w:rPr>
          <w:noProof/>
        </w:rPr>
      </w:r>
      <w:r>
        <w:rPr>
          <w:noProof/>
        </w:rPr>
        <w:fldChar w:fldCharType="separate"/>
      </w:r>
      <w:r>
        <w:rPr>
          <w:noProof/>
        </w:rPr>
        <w:t>18</w:t>
      </w:r>
      <w:r>
        <w:rPr>
          <w:noProof/>
        </w:rPr>
        <w:fldChar w:fldCharType="end"/>
      </w:r>
    </w:p>
    <w:p w:rsidR="00B3535E" w:rsidRDefault="00B3535E">
      <w:pPr>
        <w:pStyle w:val="TOC3"/>
        <w:tabs>
          <w:tab w:val="left" w:pos="1320"/>
          <w:tab w:val="right" w:leader="dot" w:pos="8630"/>
        </w:tabs>
        <w:rPr>
          <w:rFonts w:asciiTheme="minorHAnsi" w:eastAsiaTheme="minorEastAsia" w:hAnsiTheme="minorHAnsi" w:cstheme="minorBidi"/>
          <w:noProof/>
          <w:sz w:val="22"/>
          <w:szCs w:val="22"/>
        </w:rPr>
      </w:pPr>
      <w:r w:rsidRPr="00BB345E">
        <w:rPr>
          <w:noProof/>
        </w:rPr>
        <w:t>4.1.2</w:t>
      </w:r>
      <w:r>
        <w:rPr>
          <w:rFonts w:asciiTheme="minorHAnsi" w:eastAsiaTheme="minorEastAsia" w:hAnsiTheme="minorHAnsi" w:cstheme="minorBidi"/>
          <w:noProof/>
          <w:sz w:val="22"/>
          <w:szCs w:val="22"/>
        </w:rPr>
        <w:tab/>
      </w:r>
      <w:r>
        <w:rPr>
          <w:noProof/>
        </w:rPr>
        <w:t>Trends in ExD by Reason Category</w:t>
      </w:r>
      <w:r>
        <w:rPr>
          <w:noProof/>
        </w:rPr>
        <w:tab/>
      </w:r>
      <w:r>
        <w:rPr>
          <w:noProof/>
        </w:rPr>
        <w:fldChar w:fldCharType="begin"/>
      </w:r>
      <w:r>
        <w:rPr>
          <w:noProof/>
        </w:rPr>
        <w:instrText xml:space="preserve"> PAGEREF _Toc347827058 \h </w:instrText>
      </w:r>
      <w:r>
        <w:rPr>
          <w:noProof/>
        </w:rPr>
      </w:r>
      <w:r>
        <w:rPr>
          <w:noProof/>
        </w:rPr>
        <w:fldChar w:fldCharType="separate"/>
      </w:r>
      <w:r>
        <w:rPr>
          <w:noProof/>
        </w:rPr>
        <w:t>19</w:t>
      </w:r>
      <w:r>
        <w:rPr>
          <w:noProof/>
        </w:rPr>
        <w:fldChar w:fldCharType="end"/>
      </w:r>
    </w:p>
    <w:p w:rsidR="00B3535E" w:rsidRDefault="00B3535E">
      <w:pPr>
        <w:pStyle w:val="TOC2"/>
        <w:tabs>
          <w:tab w:val="left" w:pos="880"/>
          <w:tab w:val="right" w:leader="dot" w:pos="8630"/>
        </w:tabs>
        <w:rPr>
          <w:rFonts w:asciiTheme="minorHAnsi" w:eastAsiaTheme="minorEastAsia" w:hAnsiTheme="minorHAnsi" w:cstheme="minorBidi"/>
          <w:noProof/>
          <w:sz w:val="22"/>
          <w:szCs w:val="22"/>
        </w:rPr>
      </w:pPr>
      <w:r w:rsidRPr="00BB345E">
        <w:rPr>
          <w:noProof/>
        </w:rPr>
        <w:t>4.2</w:t>
      </w:r>
      <w:r>
        <w:rPr>
          <w:rFonts w:asciiTheme="minorHAnsi" w:eastAsiaTheme="minorEastAsia" w:hAnsiTheme="minorHAnsi" w:cstheme="minorBidi"/>
          <w:noProof/>
          <w:sz w:val="22"/>
          <w:szCs w:val="22"/>
        </w:rPr>
        <w:tab/>
      </w:r>
      <w:r w:rsidRPr="00BB345E">
        <w:rPr>
          <w:noProof/>
        </w:rPr>
        <w:t>Reliability Must Run Designations</w:t>
      </w:r>
      <w:r>
        <w:rPr>
          <w:noProof/>
        </w:rPr>
        <w:tab/>
      </w:r>
      <w:r>
        <w:rPr>
          <w:noProof/>
        </w:rPr>
        <w:fldChar w:fldCharType="begin"/>
      </w:r>
      <w:r>
        <w:rPr>
          <w:noProof/>
        </w:rPr>
        <w:instrText xml:space="preserve"> PAGEREF _Toc347827059 \h </w:instrText>
      </w:r>
      <w:r>
        <w:rPr>
          <w:noProof/>
        </w:rPr>
      </w:r>
      <w:r>
        <w:rPr>
          <w:noProof/>
        </w:rPr>
        <w:fldChar w:fldCharType="separate"/>
      </w:r>
      <w:r>
        <w:rPr>
          <w:noProof/>
        </w:rPr>
        <w:t>20</w:t>
      </w:r>
      <w:r>
        <w:rPr>
          <w:noProof/>
        </w:rPr>
        <w:fldChar w:fldCharType="end"/>
      </w:r>
    </w:p>
    <w:p w:rsidR="00B3535E" w:rsidRDefault="00B3535E">
      <w:pPr>
        <w:pStyle w:val="TOC2"/>
        <w:tabs>
          <w:tab w:val="left" w:pos="880"/>
          <w:tab w:val="right" w:leader="dot" w:pos="8630"/>
        </w:tabs>
        <w:rPr>
          <w:rFonts w:asciiTheme="minorHAnsi" w:eastAsiaTheme="minorEastAsia" w:hAnsiTheme="minorHAnsi" w:cstheme="minorBidi"/>
          <w:noProof/>
          <w:sz w:val="22"/>
          <w:szCs w:val="22"/>
        </w:rPr>
      </w:pPr>
      <w:r w:rsidRPr="00BB345E">
        <w:rPr>
          <w:noProof/>
        </w:rPr>
        <w:t>4.3</w:t>
      </w:r>
      <w:r>
        <w:rPr>
          <w:rFonts w:asciiTheme="minorHAnsi" w:eastAsiaTheme="minorEastAsia" w:hAnsiTheme="minorHAnsi" w:cstheme="minorBidi"/>
          <w:noProof/>
          <w:sz w:val="22"/>
          <w:szCs w:val="22"/>
        </w:rPr>
        <w:tab/>
      </w:r>
      <w:r w:rsidRPr="00BB345E">
        <w:rPr>
          <w:noProof/>
        </w:rPr>
        <w:t>RA Contract Prices 2010-2012</w:t>
      </w:r>
      <w:r>
        <w:rPr>
          <w:noProof/>
        </w:rPr>
        <w:tab/>
      </w:r>
      <w:r>
        <w:rPr>
          <w:noProof/>
        </w:rPr>
        <w:fldChar w:fldCharType="begin"/>
      </w:r>
      <w:r>
        <w:rPr>
          <w:noProof/>
        </w:rPr>
        <w:instrText xml:space="preserve"> PAGEREF _Toc347827060 \h </w:instrText>
      </w:r>
      <w:r>
        <w:rPr>
          <w:noProof/>
        </w:rPr>
      </w:r>
      <w:r>
        <w:rPr>
          <w:noProof/>
        </w:rPr>
        <w:fldChar w:fldCharType="separate"/>
      </w:r>
      <w:r>
        <w:rPr>
          <w:noProof/>
        </w:rPr>
        <w:t>21</w:t>
      </w:r>
      <w:r>
        <w:rPr>
          <w:noProof/>
        </w:rPr>
        <w:fldChar w:fldCharType="end"/>
      </w:r>
    </w:p>
    <w:p w:rsidR="00B3535E" w:rsidRDefault="00B3535E">
      <w:pPr>
        <w:pStyle w:val="TOC1"/>
        <w:tabs>
          <w:tab w:val="left" w:pos="480"/>
          <w:tab w:val="right" w:leader="dot" w:pos="8630"/>
        </w:tabs>
        <w:rPr>
          <w:rFonts w:asciiTheme="minorHAnsi" w:eastAsiaTheme="minorEastAsia" w:hAnsiTheme="minorHAnsi" w:cstheme="minorBidi"/>
          <w:noProof/>
          <w:sz w:val="22"/>
          <w:szCs w:val="22"/>
        </w:rPr>
      </w:pPr>
      <w:r w:rsidRPr="00BB345E">
        <w:rPr>
          <w:noProof/>
        </w:rPr>
        <w:t>5</w:t>
      </w:r>
      <w:r>
        <w:rPr>
          <w:rFonts w:asciiTheme="minorHAnsi" w:eastAsiaTheme="minorEastAsia" w:hAnsiTheme="minorHAnsi" w:cstheme="minorBidi"/>
          <w:noProof/>
          <w:sz w:val="22"/>
          <w:szCs w:val="22"/>
        </w:rPr>
        <w:tab/>
      </w:r>
      <w:r>
        <w:rPr>
          <w:noProof/>
        </w:rPr>
        <w:t>Compliance with RAR</w:t>
      </w:r>
      <w:r>
        <w:rPr>
          <w:noProof/>
        </w:rPr>
        <w:tab/>
      </w:r>
      <w:r>
        <w:rPr>
          <w:noProof/>
        </w:rPr>
        <w:fldChar w:fldCharType="begin"/>
      </w:r>
      <w:r>
        <w:rPr>
          <w:noProof/>
        </w:rPr>
        <w:instrText xml:space="preserve"> PAGEREF _Toc347827061 \h </w:instrText>
      </w:r>
      <w:r>
        <w:rPr>
          <w:noProof/>
        </w:rPr>
      </w:r>
      <w:r>
        <w:rPr>
          <w:noProof/>
        </w:rPr>
        <w:fldChar w:fldCharType="separate"/>
      </w:r>
      <w:r>
        <w:rPr>
          <w:noProof/>
        </w:rPr>
        <w:t>26</w:t>
      </w:r>
      <w:r>
        <w:rPr>
          <w:noProof/>
        </w:rPr>
        <w:fldChar w:fldCharType="end"/>
      </w:r>
    </w:p>
    <w:p w:rsidR="00B3535E" w:rsidRDefault="00B3535E">
      <w:pPr>
        <w:pStyle w:val="TOC2"/>
        <w:tabs>
          <w:tab w:val="left" w:pos="880"/>
          <w:tab w:val="right" w:leader="dot" w:pos="8630"/>
        </w:tabs>
        <w:rPr>
          <w:rFonts w:asciiTheme="minorHAnsi" w:eastAsiaTheme="minorEastAsia" w:hAnsiTheme="minorHAnsi" w:cstheme="minorBidi"/>
          <w:noProof/>
          <w:sz w:val="22"/>
          <w:szCs w:val="22"/>
        </w:rPr>
      </w:pPr>
      <w:r w:rsidRPr="00BB345E">
        <w:rPr>
          <w:noProof/>
        </w:rPr>
        <w:t>5.1</w:t>
      </w:r>
      <w:r>
        <w:rPr>
          <w:rFonts w:asciiTheme="minorHAnsi" w:eastAsiaTheme="minorEastAsia" w:hAnsiTheme="minorHAnsi" w:cstheme="minorBidi"/>
          <w:noProof/>
          <w:sz w:val="22"/>
          <w:szCs w:val="22"/>
        </w:rPr>
        <w:tab/>
      </w:r>
      <w:r w:rsidRPr="00BB345E">
        <w:rPr>
          <w:noProof/>
        </w:rPr>
        <w:t>Overview of the RA Filing Process</w:t>
      </w:r>
      <w:r>
        <w:rPr>
          <w:noProof/>
        </w:rPr>
        <w:tab/>
      </w:r>
      <w:r>
        <w:rPr>
          <w:noProof/>
        </w:rPr>
        <w:fldChar w:fldCharType="begin"/>
      </w:r>
      <w:r>
        <w:rPr>
          <w:noProof/>
        </w:rPr>
        <w:instrText xml:space="preserve"> PAGEREF _Toc347827062 \h </w:instrText>
      </w:r>
      <w:r>
        <w:rPr>
          <w:noProof/>
        </w:rPr>
      </w:r>
      <w:r>
        <w:rPr>
          <w:noProof/>
        </w:rPr>
        <w:fldChar w:fldCharType="separate"/>
      </w:r>
      <w:r>
        <w:rPr>
          <w:noProof/>
        </w:rPr>
        <w:t>26</w:t>
      </w:r>
      <w:r>
        <w:rPr>
          <w:noProof/>
        </w:rPr>
        <w:fldChar w:fldCharType="end"/>
      </w:r>
    </w:p>
    <w:p w:rsidR="00B3535E" w:rsidRDefault="00B3535E">
      <w:pPr>
        <w:pStyle w:val="TOC2"/>
        <w:tabs>
          <w:tab w:val="left" w:pos="880"/>
          <w:tab w:val="right" w:leader="dot" w:pos="8630"/>
        </w:tabs>
        <w:rPr>
          <w:rFonts w:asciiTheme="minorHAnsi" w:eastAsiaTheme="minorEastAsia" w:hAnsiTheme="minorHAnsi" w:cstheme="minorBidi"/>
          <w:noProof/>
          <w:sz w:val="22"/>
          <w:szCs w:val="22"/>
        </w:rPr>
      </w:pPr>
      <w:r w:rsidRPr="00BB345E">
        <w:rPr>
          <w:noProof/>
        </w:rPr>
        <w:t>5.2</w:t>
      </w:r>
      <w:r>
        <w:rPr>
          <w:rFonts w:asciiTheme="minorHAnsi" w:eastAsiaTheme="minorEastAsia" w:hAnsiTheme="minorHAnsi" w:cstheme="minorBidi"/>
          <w:noProof/>
          <w:sz w:val="22"/>
          <w:szCs w:val="22"/>
        </w:rPr>
        <w:tab/>
      </w:r>
      <w:r w:rsidRPr="00BB345E">
        <w:rPr>
          <w:noProof/>
        </w:rPr>
        <w:t>Working with Stakeholders to Improve the Compliance Review Process</w:t>
      </w:r>
      <w:r>
        <w:rPr>
          <w:noProof/>
        </w:rPr>
        <w:tab/>
      </w:r>
      <w:r>
        <w:rPr>
          <w:noProof/>
        </w:rPr>
        <w:fldChar w:fldCharType="begin"/>
      </w:r>
      <w:r>
        <w:rPr>
          <w:noProof/>
        </w:rPr>
        <w:instrText xml:space="preserve"> PAGEREF _Toc347827063 \h </w:instrText>
      </w:r>
      <w:r>
        <w:rPr>
          <w:noProof/>
        </w:rPr>
      </w:r>
      <w:r>
        <w:rPr>
          <w:noProof/>
        </w:rPr>
        <w:fldChar w:fldCharType="separate"/>
      </w:r>
      <w:r>
        <w:rPr>
          <w:noProof/>
        </w:rPr>
        <w:t>26</w:t>
      </w:r>
      <w:r>
        <w:rPr>
          <w:noProof/>
        </w:rPr>
        <w:fldChar w:fldCharType="end"/>
      </w:r>
    </w:p>
    <w:p w:rsidR="00B3535E" w:rsidRDefault="00B3535E">
      <w:pPr>
        <w:pStyle w:val="TOC2"/>
        <w:tabs>
          <w:tab w:val="left" w:pos="880"/>
          <w:tab w:val="right" w:leader="dot" w:pos="8630"/>
        </w:tabs>
        <w:rPr>
          <w:rFonts w:asciiTheme="minorHAnsi" w:eastAsiaTheme="minorEastAsia" w:hAnsiTheme="minorHAnsi" w:cstheme="minorBidi"/>
          <w:noProof/>
          <w:sz w:val="22"/>
          <w:szCs w:val="22"/>
        </w:rPr>
      </w:pPr>
      <w:r w:rsidRPr="00BB345E">
        <w:rPr>
          <w:noProof/>
        </w:rPr>
        <w:t>5.3</w:t>
      </w:r>
      <w:r>
        <w:rPr>
          <w:rFonts w:asciiTheme="minorHAnsi" w:eastAsiaTheme="minorEastAsia" w:hAnsiTheme="minorHAnsi" w:cstheme="minorBidi"/>
          <w:noProof/>
          <w:sz w:val="22"/>
          <w:szCs w:val="22"/>
        </w:rPr>
        <w:tab/>
      </w:r>
      <w:r w:rsidRPr="00BB345E">
        <w:rPr>
          <w:noProof/>
        </w:rPr>
        <w:t>Enforcement and Compliance</w:t>
      </w:r>
      <w:r>
        <w:rPr>
          <w:noProof/>
        </w:rPr>
        <w:tab/>
      </w:r>
      <w:r>
        <w:rPr>
          <w:noProof/>
        </w:rPr>
        <w:fldChar w:fldCharType="begin"/>
      </w:r>
      <w:r>
        <w:rPr>
          <w:noProof/>
        </w:rPr>
        <w:instrText xml:space="preserve"> PAGEREF _Toc347827064 \h </w:instrText>
      </w:r>
      <w:r>
        <w:rPr>
          <w:noProof/>
        </w:rPr>
      </w:r>
      <w:r>
        <w:rPr>
          <w:noProof/>
        </w:rPr>
        <w:fldChar w:fldCharType="separate"/>
      </w:r>
      <w:r>
        <w:rPr>
          <w:noProof/>
        </w:rPr>
        <w:t>27</w:t>
      </w:r>
      <w:r>
        <w:rPr>
          <w:noProof/>
        </w:rPr>
        <w:fldChar w:fldCharType="end"/>
      </w:r>
    </w:p>
    <w:p w:rsidR="00B3535E" w:rsidRDefault="00B3535E">
      <w:pPr>
        <w:pStyle w:val="TOC3"/>
        <w:tabs>
          <w:tab w:val="left" w:pos="1320"/>
          <w:tab w:val="right" w:leader="dot" w:pos="8630"/>
        </w:tabs>
        <w:rPr>
          <w:rFonts w:asciiTheme="minorHAnsi" w:eastAsiaTheme="minorEastAsia" w:hAnsiTheme="minorHAnsi" w:cstheme="minorBidi"/>
          <w:noProof/>
          <w:sz w:val="22"/>
          <w:szCs w:val="22"/>
        </w:rPr>
      </w:pPr>
      <w:r w:rsidRPr="00BB345E">
        <w:rPr>
          <w:noProof/>
        </w:rPr>
        <w:t>5.3.1</w:t>
      </w:r>
      <w:r>
        <w:rPr>
          <w:rFonts w:asciiTheme="minorHAnsi" w:eastAsiaTheme="minorEastAsia" w:hAnsiTheme="minorHAnsi" w:cstheme="minorBidi"/>
          <w:noProof/>
          <w:sz w:val="22"/>
          <w:szCs w:val="22"/>
        </w:rPr>
        <w:tab/>
      </w:r>
      <w:r>
        <w:rPr>
          <w:noProof/>
        </w:rPr>
        <w:t>Enforcement actions taken 2006-2011 compliance years</w:t>
      </w:r>
      <w:r>
        <w:rPr>
          <w:noProof/>
        </w:rPr>
        <w:tab/>
      </w:r>
      <w:r>
        <w:rPr>
          <w:noProof/>
        </w:rPr>
        <w:fldChar w:fldCharType="begin"/>
      </w:r>
      <w:r>
        <w:rPr>
          <w:noProof/>
        </w:rPr>
        <w:instrText xml:space="preserve"> PAGEREF _Toc347827065 \h </w:instrText>
      </w:r>
      <w:r>
        <w:rPr>
          <w:noProof/>
        </w:rPr>
      </w:r>
      <w:r>
        <w:rPr>
          <w:noProof/>
        </w:rPr>
        <w:fldChar w:fldCharType="separate"/>
      </w:r>
      <w:r>
        <w:rPr>
          <w:noProof/>
        </w:rPr>
        <w:t>28</w:t>
      </w:r>
      <w:r>
        <w:rPr>
          <w:noProof/>
        </w:rPr>
        <w:fldChar w:fldCharType="end"/>
      </w:r>
    </w:p>
    <w:p w:rsidR="00B3535E" w:rsidRDefault="00B3535E">
      <w:pPr>
        <w:pStyle w:val="TOC1"/>
        <w:tabs>
          <w:tab w:val="left" w:pos="480"/>
          <w:tab w:val="right" w:leader="dot" w:pos="8630"/>
        </w:tabs>
        <w:rPr>
          <w:rFonts w:asciiTheme="minorHAnsi" w:eastAsiaTheme="minorEastAsia" w:hAnsiTheme="minorHAnsi" w:cstheme="minorBidi"/>
          <w:noProof/>
          <w:sz w:val="22"/>
          <w:szCs w:val="22"/>
        </w:rPr>
      </w:pPr>
      <w:r w:rsidRPr="00BB345E">
        <w:rPr>
          <w:noProof/>
        </w:rPr>
        <w:t>6</w:t>
      </w:r>
      <w:r>
        <w:rPr>
          <w:rFonts w:asciiTheme="minorHAnsi" w:eastAsiaTheme="minorEastAsia" w:hAnsiTheme="minorHAnsi" w:cstheme="minorBidi"/>
          <w:noProof/>
          <w:sz w:val="22"/>
          <w:szCs w:val="22"/>
        </w:rPr>
        <w:tab/>
      </w:r>
      <w:r>
        <w:rPr>
          <w:noProof/>
        </w:rPr>
        <w:t>Generator Performance and Availability</w:t>
      </w:r>
      <w:r>
        <w:rPr>
          <w:noProof/>
        </w:rPr>
        <w:tab/>
      </w:r>
      <w:r>
        <w:rPr>
          <w:noProof/>
        </w:rPr>
        <w:fldChar w:fldCharType="begin"/>
      </w:r>
      <w:r>
        <w:rPr>
          <w:noProof/>
        </w:rPr>
        <w:instrText xml:space="preserve"> PAGEREF _Toc347827066 \h </w:instrText>
      </w:r>
      <w:r>
        <w:rPr>
          <w:noProof/>
        </w:rPr>
      </w:r>
      <w:r>
        <w:rPr>
          <w:noProof/>
        </w:rPr>
        <w:fldChar w:fldCharType="separate"/>
      </w:r>
      <w:r>
        <w:rPr>
          <w:noProof/>
        </w:rPr>
        <w:t>29</w:t>
      </w:r>
      <w:r>
        <w:rPr>
          <w:noProof/>
        </w:rPr>
        <w:fldChar w:fldCharType="end"/>
      </w:r>
    </w:p>
    <w:p w:rsidR="00B3535E" w:rsidRDefault="00B3535E">
      <w:pPr>
        <w:pStyle w:val="TOC2"/>
        <w:tabs>
          <w:tab w:val="left" w:pos="880"/>
          <w:tab w:val="right" w:leader="dot" w:pos="8630"/>
        </w:tabs>
        <w:rPr>
          <w:rFonts w:asciiTheme="minorHAnsi" w:eastAsiaTheme="minorEastAsia" w:hAnsiTheme="minorHAnsi" w:cstheme="minorBidi"/>
          <w:noProof/>
          <w:sz w:val="22"/>
          <w:szCs w:val="22"/>
        </w:rPr>
      </w:pPr>
      <w:r w:rsidRPr="00BB345E">
        <w:rPr>
          <w:noProof/>
        </w:rPr>
        <w:t>6.1</w:t>
      </w:r>
      <w:r>
        <w:rPr>
          <w:rFonts w:asciiTheme="minorHAnsi" w:eastAsiaTheme="minorEastAsia" w:hAnsiTheme="minorHAnsi" w:cstheme="minorBidi"/>
          <w:noProof/>
          <w:sz w:val="22"/>
          <w:szCs w:val="22"/>
        </w:rPr>
        <w:tab/>
      </w:r>
      <w:r w:rsidRPr="00BB345E">
        <w:rPr>
          <w:noProof/>
        </w:rPr>
        <w:t>Performance and Availability for RA Resources in CAISO</w:t>
      </w:r>
      <w:r>
        <w:rPr>
          <w:noProof/>
        </w:rPr>
        <w:tab/>
      </w:r>
      <w:r>
        <w:rPr>
          <w:noProof/>
        </w:rPr>
        <w:fldChar w:fldCharType="begin"/>
      </w:r>
      <w:r>
        <w:rPr>
          <w:noProof/>
        </w:rPr>
        <w:instrText xml:space="preserve"> PAGEREF _Toc347827067 \h </w:instrText>
      </w:r>
      <w:r>
        <w:rPr>
          <w:noProof/>
        </w:rPr>
      </w:r>
      <w:r>
        <w:rPr>
          <w:noProof/>
        </w:rPr>
        <w:fldChar w:fldCharType="separate"/>
      </w:r>
      <w:r>
        <w:rPr>
          <w:noProof/>
        </w:rPr>
        <w:t>29</w:t>
      </w:r>
      <w:r>
        <w:rPr>
          <w:noProof/>
        </w:rPr>
        <w:fldChar w:fldCharType="end"/>
      </w:r>
    </w:p>
    <w:p w:rsidR="00B3535E" w:rsidRDefault="00B3535E">
      <w:pPr>
        <w:pStyle w:val="TOC1"/>
        <w:tabs>
          <w:tab w:val="left" w:pos="480"/>
          <w:tab w:val="right" w:leader="dot" w:pos="8630"/>
        </w:tabs>
        <w:rPr>
          <w:rFonts w:asciiTheme="minorHAnsi" w:eastAsiaTheme="minorEastAsia" w:hAnsiTheme="minorHAnsi" w:cstheme="minorBidi"/>
          <w:noProof/>
          <w:sz w:val="22"/>
          <w:szCs w:val="22"/>
        </w:rPr>
      </w:pPr>
      <w:r w:rsidRPr="00BB345E">
        <w:rPr>
          <w:noProof/>
        </w:rPr>
        <w:t>7</w:t>
      </w:r>
      <w:r>
        <w:rPr>
          <w:rFonts w:asciiTheme="minorHAnsi" w:eastAsiaTheme="minorEastAsia" w:hAnsiTheme="minorHAnsi" w:cstheme="minorBidi"/>
          <w:noProof/>
          <w:sz w:val="22"/>
          <w:szCs w:val="22"/>
        </w:rPr>
        <w:tab/>
      </w:r>
      <w:r>
        <w:rPr>
          <w:noProof/>
        </w:rPr>
        <w:t>Changes to the RA Program for 2011</w:t>
      </w:r>
      <w:r>
        <w:rPr>
          <w:noProof/>
        </w:rPr>
        <w:tab/>
      </w:r>
      <w:r>
        <w:rPr>
          <w:noProof/>
        </w:rPr>
        <w:fldChar w:fldCharType="begin"/>
      </w:r>
      <w:r>
        <w:rPr>
          <w:noProof/>
        </w:rPr>
        <w:instrText xml:space="preserve"> PAGEREF _Toc347827068 \h </w:instrText>
      </w:r>
      <w:r>
        <w:rPr>
          <w:noProof/>
        </w:rPr>
      </w:r>
      <w:r>
        <w:rPr>
          <w:noProof/>
        </w:rPr>
        <w:fldChar w:fldCharType="separate"/>
      </w:r>
      <w:r>
        <w:rPr>
          <w:noProof/>
        </w:rPr>
        <w:t>31</w:t>
      </w:r>
      <w:r>
        <w:rPr>
          <w:noProof/>
        </w:rPr>
        <w:fldChar w:fldCharType="end"/>
      </w:r>
    </w:p>
    <w:p w:rsidR="00B3535E" w:rsidRDefault="00B3535E">
      <w:pPr>
        <w:pStyle w:val="TOC1"/>
        <w:tabs>
          <w:tab w:val="left" w:pos="480"/>
          <w:tab w:val="right" w:leader="dot" w:pos="8630"/>
        </w:tabs>
        <w:rPr>
          <w:rFonts w:asciiTheme="minorHAnsi" w:eastAsiaTheme="minorEastAsia" w:hAnsiTheme="minorHAnsi" w:cstheme="minorBidi"/>
          <w:noProof/>
          <w:sz w:val="22"/>
          <w:szCs w:val="22"/>
        </w:rPr>
      </w:pPr>
      <w:r w:rsidRPr="00BB345E">
        <w:rPr>
          <w:noProof/>
        </w:rPr>
        <w:t>8</w:t>
      </w:r>
      <w:r>
        <w:rPr>
          <w:rFonts w:asciiTheme="minorHAnsi" w:eastAsiaTheme="minorEastAsia" w:hAnsiTheme="minorHAnsi" w:cstheme="minorBidi"/>
          <w:noProof/>
          <w:sz w:val="22"/>
          <w:szCs w:val="22"/>
        </w:rPr>
        <w:tab/>
      </w:r>
      <w:r>
        <w:rPr>
          <w:noProof/>
        </w:rPr>
        <w:t xml:space="preserve">Appendix 1 - </w:t>
      </w:r>
      <w:r w:rsidRPr="00BB345E">
        <w:rPr>
          <w:noProof/>
        </w:rPr>
        <w:t>Total CAISO LSE Procurement as Percentage of Total Obligation</w:t>
      </w:r>
      <w:r>
        <w:rPr>
          <w:noProof/>
        </w:rPr>
        <w:tab/>
      </w:r>
      <w:r>
        <w:rPr>
          <w:noProof/>
        </w:rPr>
        <w:fldChar w:fldCharType="begin"/>
      </w:r>
      <w:r>
        <w:rPr>
          <w:noProof/>
        </w:rPr>
        <w:instrText xml:space="preserve"> PAGEREF _Toc347827069 \h </w:instrText>
      </w:r>
      <w:r>
        <w:rPr>
          <w:noProof/>
        </w:rPr>
      </w:r>
      <w:r>
        <w:rPr>
          <w:noProof/>
        </w:rPr>
        <w:fldChar w:fldCharType="separate"/>
      </w:r>
      <w:r>
        <w:rPr>
          <w:noProof/>
        </w:rPr>
        <w:t>32</w:t>
      </w:r>
      <w:r>
        <w:rPr>
          <w:noProof/>
        </w:rPr>
        <w:fldChar w:fldCharType="end"/>
      </w:r>
    </w:p>
    <w:p w:rsidR="00B3535E" w:rsidRDefault="00B3535E">
      <w:pPr>
        <w:pStyle w:val="TOC1"/>
        <w:tabs>
          <w:tab w:val="left" w:pos="480"/>
          <w:tab w:val="right" w:leader="dot" w:pos="8630"/>
        </w:tabs>
        <w:rPr>
          <w:rFonts w:asciiTheme="minorHAnsi" w:eastAsiaTheme="minorEastAsia" w:hAnsiTheme="minorHAnsi" w:cstheme="minorBidi"/>
          <w:noProof/>
          <w:sz w:val="22"/>
          <w:szCs w:val="22"/>
        </w:rPr>
      </w:pPr>
      <w:r w:rsidRPr="00BB345E">
        <w:rPr>
          <w:noProof/>
        </w:rPr>
        <w:t>9</w:t>
      </w:r>
      <w:r>
        <w:rPr>
          <w:rFonts w:asciiTheme="minorHAnsi" w:eastAsiaTheme="minorEastAsia" w:hAnsiTheme="minorHAnsi" w:cstheme="minorBidi"/>
          <w:noProof/>
          <w:sz w:val="22"/>
          <w:szCs w:val="22"/>
        </w:rPr>
        <w:tab/>
      </w:r>
      <w:r>
        <w:rPr>
          <w:noProof/>
        </w:rPr>
        <w:t>Appendix 2</w:t>
      </w:r>
      <w:r>
        <w:rPr>
          <w:noProof/>
        </w:rPr>
        <w:tab/>
      </w:r>
      <w:r>
        <w:rPr>
          <w:noProof/>
        </w:rPr>
        <w:fldChar w:fldCharType="begin"/>
      </w:r>
      <w:r>
        <w:rPr>
          <w:noProof/>
        </w:rPr>
        <w:instrText xml:space="preserve"> PAGEREF _Toc347827070 \h </w:instrText>
      </w:r>
      <w:r>
        <w:rPr>
          <w:noProof/>
        </w:rPr>
      </w:r>
      <w:r>
        <w:rPr>
          <w:noProof/>
        </w:rPr>
        <w:fldChar w:fldCharType="separate"/>
      </w:r>
      <w:r>
        <w:rPr>
          <w:noProof/>
        </w:rPr>
        <w:t>33</w:t>
      </w:r>
      <w:r>
        <w:rPr>
          <w:noProof/>
        </w:rPr>
        <w:fldChar w:fldCharType="end"/>
      </w:r>
    </w:p>
    <w:p w:rsidR="00AE7D50" w:rsidRPr="00AD151D" w:rsidRDefault="00AE7D50">
      <w:pPr>
        <w:jc w:val="center"/>
        <w:rPr>
          <w:b/>
        </w:rPr>
      </w:pPr>
      <w:r w:rsidRPr="00AD151D">
        <w:rPr>
          <w:b/>
        </w:rPr>
        <w:fldChar w:fldCharType="end"/>
      </w:r>
    </w:p>
    <w:p w:rsidR="00AE7D50" w:rsidRPr="00AD151D" w:rsidRDefault="00AE7D50">
      <w:pPr>
        <w:pStyle w:val="Heading1"/>
        <w:numPr>
          <w:ilvl w:val="0"/>
          <w:numId w:val="0"/>
        </w:numPr>
        <w:spacing w:before="0"/>
      </w:pPr>
      <w:bookmarkStart w:id="3" w:name="_GoBack"/>
      <w:bookmarkEnd w:id="3"/>
      <w:r w:rsidRPr="00AD151D">
        <w:br w:type="page"/>
      </w:r>
      <w:bookmarkStart w:id="4" w:name="_Toc347827039"/>
      <w:r w:rsidRPr="00AD151D">
        <w:lastRenderedPageBreak/>
        <w:t>Index of Tables</w:t>
      </w:r>
      <w:bookmarkEnd w:id="4"/>
    </w:p>
    <w:p w:rsidR="00B3535E" w:rsidRDefault="00AE7D50">
      <w:pPr>
        <w:pStyle w:val="TableofFigures"/>
        <w:tabs>
          <w:tab w:val="right" w:leader="dot" w:pos="8630"/>
        </w:tabs>
        <w:rPr>
          <w:rFonts w:asciiTheme="minorHAnsi" w:eastAsiaTheme="minorEastAsia" w:hAnsiTheme="minorHAnsi" w:cstheme="minorBidi"/>
          <w:noProof/>
          <w:sz w:val="22"/>
          <w:szCs w:val="22"/>
        </w:rPr>
      </w:pPr>
      <w:r w:rsidRPr="00AD151D">
        <w:rPr>
          <w:b/>
        </w:rPr>
        <w:fldChar w:fldCharType="begin"/>
      </w:r>
      <w:r w:rsidRPr="00AD151D">
        <w:rPr>
          <w:b/>
        </w:rPr>
        <w:instrText xml:space="preserve"> TOC \c "Table" </w:instrText>
      </w:r>
      <w:r w:rsidRPr="00AD151D">
        <w:rPr>
          <w:b/>
        </w:rPr>
        <w:fldChar w:fldCharType="separate"/>
      </w:r>
      <w:r w:rsidR="00B3535E">
        <w:rPr>
          <w:noProof/>
        </w:rPr>
        <w:t>Table 1. 2011 Aggregated Load Forecast Data (MW)</w:t>
      </w:r>
      <w:r w:rsidR="00B3535E">
        <w:rPr>
          <w:noProof/>
        </w:rPr>
        <w:tab/>
      </w:r>
      <w:r w:rsidR="00B3535E">
        <w:rPr>
          <w:noProof/>
        </w:rPr>
        <w:fldChar w:fldCharType="begin"/>
      </w:r>
      <w:r w:rsidR="00B3535E">
        <w:rPr>
          <w:noProof/>
        </w:rPr>
        <w:instrText xml:space="preserve"> PAGEREF _Toc347827071 \h </w:instrText>
      </w:r>
      <w:r w:rsidR="00B3535E">
        <w:rPr>
          <w:noProof/>
        </w:rPr>
      </w:r>
      <w:r w:rsidR="00B3535E">
        <w:rPr>
          <w:noProof/>
        </w:rPr>
        <w:fldChar w:fldCharType="separate"/>
      </w:r>
      <w:r w:rsidR="00B3535E">
        <w:rPr>
          <w:noProof/>
        </w:rPr>
        <w:t>7</w:t>
      </w:r>
      <w:r w:rsidR="00B3535E">
        <w:rPr>
          <w:noProof/>
        </w:rPr>
        <w:fldChar w:fldCharType="end"/>
      </w:r>
    </w:p>
    <w:p w:rsidR="00B3535E" w:rsidRDefault="00B3535E">
      <w:pPr>
        <w:pStyle w:val="TableofFigures"/>
        <w:tabs>
          <w:tab w:val="right" w:leader="dot" w:pos="8630"/>
        </w:tabs>
        <w:rPr>
          <w:rFonts w:asciiTheme="minorHAnsi" w:eastAsiaTheme="minorEastAsia" w:hAnsiTheme="minorHAnsi" w:cstheme="minorBidi"/>
          <w:noProof/>
          <w:sz w:val="22"/>
          <w:szCs w:val="22"/>
        </w:rPr>
      </w:pPr>
      <w:r>
        <w:rPr>
          <w:noProof/>
        </w:rPr>
        <w:t>Table 2 CEC Plausibility adjustments 2009-2011 (MW)</w:t>
      </w:r>
      <w:r>
        <w:rPr>
          <w:noProof/>
        </w:rPr>
        <w:tab/>
      </w:r>
      <w:r>
        <w:rPr>
          <w:noProof/>
        </w:rPr>
        <w:fldChar w:fldCharType="begin"/>
      </w:r>
      <w:r>
        <w:rPr>
          <w:noProof/>
        </w:rPr>
        <w:instrText xml:space="preserve"> PAGEREF _Toc347827072 \h </w:instrText>
      </w:r>
      <w:r>
        <w:rPr>
          <w:noProof/>
        </w:rPr>
      </w:r>
      <w:r>
        <w:rPr>
          <w:noProof/>
        </w:rPr>
        <w:fldChar w:fldCharType="separate"/>
      </w:r>
      <w:r>
        <w:rPr>
          <w:noProof/>
        </w:rPr>
        <w:t>8</w:t>
      </w:r>
      <w:r>
        <w:rPr>
          <w:noProof/>
        </w:rPr>
        <w:fldChar w:fldCharType="end"/>
      </w:r>
    </w:p>
    <w:p w:rsidR="00B3535E" w:rsidRDefault="00B3535E">
      <w:pPr>
        <w:pStyle w:val="TableofFigures"/>
        <w:tabs>
          <w:tab w:val="right" w:leader="dot" w:pos="8630"/>
        </w:tabs>
        <w:rPr>
          <w:rFonts w:asciiTheme="minorHAnsi" w:eastAsiaTheme="minorEastAsia" w:hAnsiTheme="minorHAnsi" w:cstheme="minorBidi"/>
          <w:noProof/>
          <w:sz w:val="22"/>
          <w:szCs w:val="22"/>
        </w:rPr>
      </w:pPr>
      <w:r w:rsidRPr="0061424E">
        <w:rPr>
          <w:noProof/>
        </w:rPr>
        <w:t>Table 3. Summary of Load Forecast Adjustments in 2011 (in MW)</w:t>
      </w:r>
      <w:r>
        <w:rPr>
          <w:noProof/>
        </w:rPr>
        <w:tab/>
      </w:r>
      <w:r>
        <w:rPr>
          <w:noProof/>
        </w:rPr>
        <w:fldChar w:fldCharType="begin"/>
      </w:r>
      <w:r>
        <w:rPr>
          <w:noProof/>
        </w:rPr>
        <w:instrText xml:space="preserve"> PAGEREF _Toc347827073 \h </w:instrText>
      </w:r>
      <w:r>
        <w:rPr>
          <w:noProof/>
        </w:rPr>
      </w:r>
      <w:r>
        <w:rPr>
          <w:noProof/>
        </w:rPr>
        <w:fldChar w:fldCharType="separate"/>
      </w:r>
      <w:r>
        <w:rPr>
          <w:noProof/>
        </w:rPr>
        <w:t>9</w:t>
      </w:r>
      <w:r>
        <w:rPr>
          <w:noProof/>
        </w:rPr>
        <w:fldChar w:fldCharType="end"/>
      </w:r>
    </w:p>
    <w:p w:rsidR="00B3535E" w:rsidRDefault="00B3535E">
      <w:pPr>
        <w:pStyle w:val="TableofFigures"/>
        <w:tabs>
          <w:tab w:val="right" w:leader="dot" w:pos="8630"/>
        </w:tabs>
        <w:rPr>
          <w:rFonts w:asciiTheme="minorHAnsi" w:eastAsiaTheme="minorEastAsia" w:hAnsiTheme="minorHAnsi" w:cstheme="minorBidi"/>
          <w:noProof/>
          <w:sz w:val="22"/>
          <w:szCs w:val="22"/>
        </w:rPr>
      </w:pPr>
      <w:r>
        <w:rPr>
          <w:noProof/>
        </w:rPr>
        <w:t>Table 4. 2011 RA Filing Summary - CPUC Jurisdictional Entities (MWs)</w:t>
      </w:r>
      <w:r>
        <w:rPr>
          <w:noProof/>
        </w:rPr>
        <w:tab/>
      </w:r>
      <w:r>
        <w:rPr>
          <w:noProof/>
        </w:rPr>
        <w:fldChar w:fldCharType="begin"/>
      </w:r>
      <w:r>
        <w:rPr>
          <w:noProof/>
        </w:rPr>
        <w:instrText xml:space="preserve"> PAGEREF _Toc347827074 \h </w:instrText>
      </w:r>
      <w:r>
        <w:rPr>
          <w:noProof/>
        </w:rPr>
      </w:r>
      <w:r>
        <w:rPr>
          <w:noProof/>
        </w:rPr>
        <w:fldChar w:fldCharType="separate"/>
      </w:r>
      <w:r>
        <w:rPr>
          <w:noProof/>
        </w:rPr>
        <w:t>10</w:t>
      </w:r>
      <w:r>
        <w:rPr>
          <w:noProof/>
        </w:rPr>
        <w:fldChar w:fldCharType="end"/>
      </w:r>
    </w:p>
    <w:p w:rsidR="00B3535E" w:rsidRDefault="00B3535E">
      <w:pPr>
        <w:pStyle w:val="TableofFigures"/>
        <w:tabs>
          <w:tab w:val="right" w:leader="dot" w:pos="8630"/>
        </w:tabs>
        <w:rPr>
          <w:rFonts w:asciiTheme="minorHAnsi" w:eastAsiaTheme="minorEastAsia" w:hAnsiTheme="minorHAnsi" w:cstheme="minorBidi"/>
          <w:noProof/>
          <w:sz w:val="22"/>
          <w:szCs w:val="22"/>
        </w:rPr>
      </w:pPr>
      <w:r>
        <w:rPr>
          <w:noProof/>
        </w:rPr>
        <w:t>Table 5. Local RA procurement in 2011 – CPUC jurisdictional LSEs</w:t>
      </w:r>
      <w:r>
        <w:rPr>
          <w:noProof/>
        </w:rPr>
        <w:tab/>
      </w:r>
      <w:r>
        <w:rPr>
          <w:noProof/>
        </w:rPr>
        <w:fldChar w:fldCharType="begin"/>
      </w:r>
      <w:r>
        <w:rPr>
          <w:noProof/>
        </w:rPr>
        <w:instrText xml:space="preserve"> PAGEREF _Toc347827075 \h </w:instrText>
      </w:r>
      <w:r>
        <w:rPr>
          <w:noProof/>
        </w:rPr>
      </w:r>
      <w:r>
        <w:rPr>
          <w:noProof/>
        </w:rPr>
        <w:fldChar w:fldCharType="separate"/>
      </w:r>
      <w:r>
        <w:rPr>
          <w:noProof/>
        </w:rPr>
        <w:t>11</w:t>
      </w:r>
      <w:r>
        <w:rPr>
          <w:noProof/>
        </w:rPr>
        <w:fldChar w:fldCharType="end"/>
      </w:r>
    </w:p>
    <w:p w:rsidR="00B3535E" w:rsidRDefault="00B3535E">
      <w:pPr>
        <w:pStyle w:val="TableofFigures"/>
        <w:tabs>
          <w:tab w:val="right" w:leader="dot" w:pos="8630"/>
        </w:tabs>
        <w:rPr>
          <w:rFonts w:asciiTheme="minorHAnsi" w:eastAsiaTheme="minorEastAsia" w:hAnsiTheme="minorHAnsi" w:cstheme="minorBidi"/>
          <w:noProof/>
          <w:sz w:val="22"/>
          <w:szCs w:val="22"/>
        </w:rPr>
      </w:pPr>
      <w:r>
        <w:rPr>
          <w:noProof/>
        </w:rPr>
        <w:t xml:space="preserve">Table 6 </w:t>
      </w:r>
      <w:r w:rsidRPr="0061424E">
        <w:rPr>
          <w:noProof/>
          <w:color w:val="000000"/>
        </w:rPr>
        <w:t>New Resources that came online in 2011 since the 2011 NQC list</w:t>
      </w:r>
      <w:r>
        <w:rPr>
          <w:noProof/>
        </w:rPr>
        <w:tab/>
      </w:r>
      <w:r>
        <w:rPr>
          <w:noProof/>
        </w:rPr>
        <w:fldChar w:fldCharType="begin"/>
      </w:r>
      <w:r>
        <w:rPr>
          <w:noProof/>
        </w:rPr>
        <w:instrText xml:space="preserve"> PAGEREF _Toc347827076 \h </w:instrText>
      </w:r>
      <w:r>
        <w:rPr>
          <w:noProof/>
        </w:rPr>
      </w:r>
      <w:r>
        <w:rPr>
          <w:noProof/>
        </w:rPr>
        <w:fldChar w:fldCharType="separate"/>
      </w:r>
      <w:r>
        <w:rPr>
          <w:noProof/>
        </w:rPr>
        <w:t>13</w:t>
      </w:r>
      <w:r>
        <w:rPr>
          <w:noProof/>
        </w:rPr>
        <w:fldChar w:fldCharType="end"/>
      </w:r>
    </w:p>
    <w:p w:rsidR="00B3535E" w:rsidRDefault="00B3535E">
      <w:pPr>
        <w:pStyle w:val="TableofFigures"/>
        <w:tabs>
          <w:tab w:val="right" w:leader="dot" w:pos="8630"/>
        </w:tabs>
        <w:rPr>
          <w:rFonts w:asciiTheme="minorHAnsi" w:eastAsiaTheme="minorEastAsia" w:hAnsiTheme="minorHAnsi" w:cstheme="minorBidi"/>
          <w:noProof/>
          <w:sz w:val="22"/>
          <w:szCs w:val="22"/>
        </w:rPr>
      </w:pPr>
      <w:r>
        <w:rPr>
          <w:noProof/>
        </w:rPr>
        <w:t>Table 7</w:t>
      </w:r>
      <w:r w:rsidRPr="0061424E">
        <w:rPr>
          <w:noProof/>
          <w:color w:val="000000"/>
        </w:rPr>
        <w:t xml:space="preserve"> Resources that retired in 2011</w:t>
      </w:r>
      <w:r>
        <w:rPr>
          <w:noProof/>
        </w:rPr>
        <w:tab/>
      </w:r>
      <w:r>
        <w:rPr>
          <w:noProof/>
        </w:rPr>
        <w:fldChar w:fldCharType="begin"/>
      </w:r>
      <w:r>
        <w:rPr>
          <w:noProof/>
        </w:rPr>
        <w:instrText xml:space="preserve"> PAGEREF _Toc347827077 \h </w:instrText>
      </w:r>
      <w:r>
        <w:rPr>
          <w:noProof/>
        </w:rPr>
      </w:r>
      <w:r>
        <w:rPr>
          <w:noProof/>
        </w:rPr>
        <w:fldChar w:fldCharType="separate"/>
      </w:r>
      <w:r>
        <w:rPr>
          <w:noProof/>
        </w:rPr>
        <w:t>14</w:t>
      </w:r>
      <w:r>
        <w:rPr>
          <w:noProof/>
        </w:rPr>
        <w:fldChar w:fldCharType="end"/>
      </w:r>
    </w:p>
    <w:p w:rsidR="00B3535E" w:rsidRDefault="00B3535E">
      <w:pPr>
        <w:pStyle w:val="TableofFigures"/>
        <w:tabs>
          <w:tab w:val="right" w:leader="dot" w:pos="8630"/>
        </w:tabs>
        <w:rPr>
          <w:rFonts w:asciiTheme="minorHAnsi" w:eastAsiaTheme="minorEastAsia" w:hAnsiTheme="minorHAnsi" w:cstheme="minorBidi"/>
          <w:noProof/>
          <w:sz w:val="22"/>
          <w:szCs w:val="22"/>
        </w:rPr>
      </w:pPr>
      <w:r>
        <w:rPr>
          <w:noProof/>
        </w:rPr>
        <w:t>Table 8.  NQC for 2006-2011</w:t>
      </w:r>
      <w:r>
        <w:rPr>
          <w:noProof/>
        </w:rPr>
        <w:tab/>
      </w:r>
      <w:r>
        <w:rPr>
          <w:noProof/>
        </w:rPr>
        <w:fldChar w:fldCharType="begin"/>
      </w:r>
      <w:r>
        <w:rPr>
          <w:noProof/>
        </w:rPr>
        <w:instrText xml:space="preserve"> PAGEREF _Toc347827078 \h </w:instrText>
      </w:r>
      <w:r>
        <w:rPr>
          <w:noProof/>
        </w:rPr>
      </w:r>
      <w:r>
        <w:rPr>
          <w:noProof/>
        </w:rPr>
        <w:fldChar w:fldCharType="separate"/>
      </w:r>
      <w:r>
        <w:rPr>
          <w:noProof/>
        </w:rPr>
        <w:t>15</w:t>
      </w:r>
      <w:r>
        <w:rPr>
          <w:noProof/>
        </w:rPr>
        <w:fldChar w:fldCharType="end"/>
      </w:r>
    </w:p>
    <w:p w:rsidR="00B3535E" w:rsidRDefault="00B3535E">
      <w:pPr>
        <w:pStyle w:val="TableofFigures"/>
        <w:tabs>
          <w:tab w:val="right" w:leader="dot" w:pos="8630"/>
        </w:tabs>
        <w:rPr>
          <w:rFonts w:asciiTheme="minorHAnsi" w:eastAsiaTheme="minorEastAsia" w:hAnsiTheme="minorHAnsi" w:cstheme="minorBidi"/>
          <w:noProof/>
          <w:sz w:val="22"/>
          <w:szCs w:val="22"/>
        </w:rPr>
      </w:pPr>
      <w:r>
        <w:rPr>
          <w:noProof/>
        </w:rPr>
        <w:t>Table 9.  2011 Import Allocations process (MW)</w:t>
      </w:r>
      <w:r>
        <w:rPr>
          <w:noProof/>
        </w:rPr>
        <w:tab/>
      </w:r>
      <w:r>
        <w:rPr>
          <w:noProof/>
        </w:rPr>
        <w:fldChar w:fldCharType="begin"/>
      </w:r>
      <w:r>
        <w:rPr>
          <w:noProof/>
        </w:rPr>
        <w:instrText xml:space="preserve"> PAGEREF _Toc347827079 \h </w:instrText>
      </w:r>
      <w:r>
        <w:rPr>
          <w:noProof/>
        </w:rPr>
      </w:r>
      <w:r>
        <w:rPr>
          <w:noProof/>
        </w:rPr>
        <w:fldChar w:fldCharType="separate"/>
      </w:r>
      <w:r>
        <w:rPr>
          <w:noProof/>
        </w:rPr>
        <w:t>16</w:t>
      </w:r>
      <w:r>
        <w:rPr>
          <w:noProof/>
        </w:rPr>
        <w:fldChar w:fldCharType="end"/>
      </w:r>
    </w:p>
    <w:p w:rsidR="00B3535E" w:rsidRDefault="00B3535E">
      <w:pPr>
        <w:pStyle w:val="TableofFigures"/>
        <w:tabs>
          <w:tab w:val="right" w:leader="dot" w:pos="8630"/>
        </w:tabs>
        <w:rPr>
          <w:rFonts w:asciiTheme="minorHAnsi" w:eastAsiaTheme="minorEastAsia" w:hAnsiTheme="minorHAnsi" w:cstheme="minorBidi"/>
          <w:noProof/>
          <w:sz w:val="22"/>
          <w:szCs w:val="22"/>
        </w:rPr>
      </w:pPr>
      <w:r>
        <w:rPr>
          <w:noProof/>
        </w:rPr>
        <w:t>Table 10.  2011 Import Allocations and Usage (MW)</w:t>
      </w:r>
      <w:r>
        <w:rPr>
          <w:noProof/>
        </w:rPr>
        <w:tab/>
      </w:r>
      <w:r>
        <w:rPr>
          <w:noProof/>
        </w:rPr>
        <w:fldChar w:fldCharType="begin"/>
      </w:r>
      <w:r>
        <w:rPr>
          <w:noProof/>
        </w:rPr>
        <w:instrText xml:space="preserve"> PAGEREF _Toc347827080 \h </w:instrText>
      </w:r>
      <w:r>
        <w:rPr>
          <w:noProof/>
        </w:rPr>
      </w:r>
      <w:r>
        <w:rPr>
          <w:noProof/>
        </w:rPr>
        <w:fldChar w:fldCharType="separate"/>
      </w:r>
      <w:r>
        <w:rPr>
          <w:noProof/>
        </w:rPr>
        <w:t>16</w:t>
      </w:r>
      <w:r>
        <w:rPr>
          <w:noProof/>
        </w:rPr>
        <w:fldChar w:fldCharType="end"/>
      </w:r>
    </w:p>
    <w:p w:rsidR="00B3535E" w:rsidRDefault="00B3535E">
      <w:pPr>
        <w:pStyle w:val="TableofFigures"/>
        <w:tabs>
          <w:tab w:val="right" w:leader="dot" w:pos="8630"/>
        </w:tabs>
        <w:rPr>
          <w:rFonts w:asciiTheme="minorHAnsi" w:eastAsiaTheme="minorEastAsia" w:hAnsiTheme="minorHAnsi" w:cstheme="minorBidi"/>
          <w:noProof/>
          <w:sz w:val="22"/>
          <w:szCs w:val="22"/>
        </w:rPr>
      </w:pPr>
      <w:r>
        <w:rPr>
          <w:noProof/>
        </w:rPr>
        <w:t>Table 11 ExD Reason Codes Correlated Into Categories for Analysis</w:t>
      </w:r>
      <w:r>
        <w:rPr>
          <w:noProof/>
        </w:rPr>
        <w:tab/>
      </w:r>
      <w:r>
        <w:rPr>
          <w:noProof/>
        </w:rPr>
        <w:fldChar w:fldCharType="begin"/>
      </w:r>
      <w:r>
        <w:rPr>
          <w:noProof/>
        </w:rPr>
        <w:instrText xml:space="preserve"> PAGEREF _Toc347827081 \h </w:instrText>
      </w:r>
      <w:r>
        <w:rPr>
          <w:noProof/>
        </w:rPr>
      </w:r>
      <w:r>
        <w:rPr>
          <w:noProof/>
        </w:rPr>
        <w:fldChar w:fldCharType="separate"/>
      </w:r>
      <w:r>
        <w:rPr>
          <w:noProof/>
        </w:rPr>
        <w:t>18</w:t>
      </w:r>
      <w:r>
        <w:rPr>
          <w:noProof/>
        </w:rPr>
        <w:fldChar w:fldCharType="end"/>
      </w:r>
    </w:p>
    <w:p w:rsidR="00B3535E" w:rsidRDefault="00B3535E">
      <w:pPr>
        <w:pStyle w:val="TableofFigures"/>
        <w:tabs>
          <w:tab w:val="right" w:leader="dot" w:pos="8630"/>
        </w:tabs>
        <w:rPr>
          <w:rFonts w:asciiTheme="minorHAnsi" w:eastAsiaTheme="minorEastAsia" w:hAnsiTheme="minorHAnsi" w:cstheme="minorBidi"/>
          <w:noProof/>
          <w:sz w:val="22"/>
          <w:szCs w:val="22"/>
        </w:rPr>
      </w:pPr>
      <w:r>
        <w:rPr>
          <w:noProof/>
        </w:rPr>
        <w:t>Table 12 Comparison of ExD Volume per month and Local Area (MW)</w:t>
      </w:r>
      <w:r>
        <w:rPr>
          <w:noProof/>
        </w:rPr>
        <w:tab/>
      </w:r>
      <w:r>
        <w:rPr>
          <w:noProof/>
        </w:rPr>
        <w:fldChar w:fldCharType="begin"/>
      </w:r>
      <w:r>
        <w:rPr>
          <w:noProof/>
        </w:rPr>
        <w:instrText xml:space="preserve"> PAGEREF _Toc347827082 \h </w:instrText>
      </w:r>
      <w:r>
        <w:rPr>
          <w:noProof/>
        </w:rPr>
      </w:r>
      <w:r>
        <w:rPr>
          <w:noProof/>
        </w:rPr>
        <w:fldChar w:fldCharType="separate"/>
      </w:r>
      <w:r>
        <w:rPr>
          <w:noProof/>
        </w:rPr>
        <w:t>19</w:t>
      </w:r>
      <w:r>
        <w:rPr>
          <w:noProof/>
        </w:rPr>
        <w:fldChar w:fldCharType="end"/>
      </w:r>
    </w:p>
    <w:p w:rsidR="00B3535E" w:rsidRDefault="00B3535E">
      <w:pPr>
        <w:pStyle w:val="TableofFigures"/>
        <w:tabs>
          <w:tab w:val="right" w:leader="dot" w:pos="8630"/>
        </w:tabs>
        <w:rPr>
          <w:rFonts w:asciiTheme="minorHAnsi" w:eastAsiaTheme="minorEastAsia" w:hAnsiTheme="minorHAnsi" w:cstheme="minorBidi"/>
          <w:noProof/>
          <w:sz w:val="22"/>
          <w:szCs w:val="22"/>
        </w:rPr>
      </w:pPr>
      <w:r>
        <w:rPr>
          <w:noProof/>
        </w:rPr>
        <w:t>Table 13 Breakdown of ExD MWh volumes by reason categories</w:t>
      </w:r>
      <w:r>
        <w:rPr>
          <w:noProof/>
        </w:rPr>
        <w:tab/>
      </w:r>
      <w:r>
        <w:rPr>
          <w:noProof/>
        </w:rPr>
        <w:fldChar w:fldCharType="begin"/>
      </w:r>
      <w:r>
        <w:rPr>
          <w:noProof/>
        </w:rPr>
        <w:instrText xml:space="preserve"> PAGEREF _Toc347827083 \h </w:instrText>
      </w:r>
      <w:r>
        <w:rPr>
          <w:noProof/>
        </w:rPr>
      </w:r>
      <w:r>
        <w:rPr>
          <w:noProof/>
        </w:rPr>
        <w:fldChar w:fldCharType="separate"/>
      </w:r>
      <w:r>
        <w:rPr>
          <w:noProof/>
        </w:rPr>
        <w:t>19</w:t>
      </w:r>
      <w:r>
        <w:rPr>
          <w:noProof/>
        </w:rPr>
        <w:fldChar w:fldCharType="end"/>
      </w:r>
    </w:p>
    <w:p w:rsidR="00B3535E" w:rsidRDefault="00B3535E">
      <w:pPr>
        <w:pStyle w:val="TableofFigures"/>
        <w:tabs>
          <w:tab w:val="right" w:leader="dot" w:pos="8630"/>
        </w:tabs>
        <w:rPr>
          <w:rFonts w:asciiTheme="minorHAnsi" w:eastAsiaTheme="minorEastAsia" w:hAnsiTheme="minorHAnsi" w:cstheme="minorBidi"/>
          <w:noProof/>
          <w:sz w:val="22"/>
          <w:szCs w:val="22"/>
        </w:rPr>
      </w:pPr>
      <w:r>
        <w:rPr>
          <w:noProof/>
        </w:rPr>
        <w:t>Table 14. RMR designations and RMR allocations for 2008-2011</w:t>
      </w:r>
      <w:r>
        <w:rPr>
          <w:noProof/>
        </w:rPr>
        <w:tab/>
      </w:r>
      <w:r>
        <w:rPr>
          <w:noProof/>
        </w:rPr>
        <w:fldChar w:fldCharType="begin"/>
      </w:r>
      <w:r>
        <w:rPr>
          <w:noProof/>
        </w:rPr>
        <w:instrText xml:space="preserve"> PAGEREF _Toc347827084 \h </w:instrText>
      </w:r>
      <w:r>
        <w:rPr>
          <w:noProof/>
        </w:rPr>
      </w:r>
      <w:r>
        <w:rPr>
          <w:noProof/>
        </w:rPr>
        <w:fldChar w:fldCharType="separate"/>
      </w:r>
      <w:r>
        <w:rPr>
          <w:noProof/>
        </w:rPr>
        <w:t>21</w:t>
      </w:r>
      <w:r>
        <w:rPr>
          <w:noProof/>
        </w:rPr>
        <w:fldChar w:fldCharType="end"/>
      </w:r>
    </w:p>
    <w:p w:rsidR="00B3535E" w:rsidRDefault="00B3535E">
      <w:pPr>
        <w:pStyle w:val="TableofFigures"/>
        <w:tabs>
          <w:tab w:val="right" w:leader="dot" w:pos="8630"/>
        </w:tabs>
        <w:rPr>
          <w:rFonts w:asciiTheme="minorHAnsi" w:eastAsiaTheme="minorEastAsia" w:hAnsiTheme="minorHAnsi" w:cstheme="minorBidi"/>
          <w:noProof/>
          <w:sz w:val="22"/>
          <w:szCs w:val="22"/>
        </w:rPr>
      </w:pPr>
      <w:r>
        <w:rPr>
          <w:noProof/>
        </w:rPr>
        <w:t>Table 15 Summary statistics of RA Prices by category</w:t>
      </w:r>
      <w:r>
        <w:rPr>
          <w:noProof/>
        </w:rPr>
        <w:tab/>
      </w:r>
      <w:r>
        <w:rPr>
          <w:noProof/>
        </w:rPr>
        <w:fldChar w:fldCharType="begin"/>
      </w:r>
      <w:r>
        <w:rPr>
          <w:noProof/>
        </w:rPr>
        <w:instrText xml:space="preserve"> PAGEREF _Toc347827085 \h </w:instrText>
      </w:r>
      <w:r>
        <w:rPr>
          <w:noProof/>
        </w:rPr>
      </w:r>
      <w:r>
        <w:rPr>
          <w:noProof/>
        </w:rPr>
        <w:fldChar w:fldCharType="separate"/>
      </w:r>
      <w:r>
        <w:rPr>
          <w:noProof/>
        </w:rPr>
        <w:t>22</w:t>
      </w:r>
      <w:r>
        <w:rPr>
          <w:noProof/>
        </w:rPr>
        <w:fldChar w:fldCharType="end"/>
      </w:r>
    </w:p>
    <w:p w:rsidR="00B3535E" w:rsidRDefault="00B3535E">
      <w:pPr>
        <w:pStyle w:val="TableofFigures"/>
        <w:tabs>
          <w:tab w:val="right" w:leader="dot" w:pos="8630"/>
        </w:tabs>
        <w:rPr>
          <w:rFonts w:asciiTheme="minorHAnsi" w:eastAsiaTheme="minorEastAsia" w:hAnsiTheme="minorHAnsi" w:cstheme="minorBidi"/>
          <w:noProof/>
          <w:sz w:val="22"/>
          <w:szCs w:val="22"/>
        </w:rPr>
      </w:pPr>
      <w:r>
        <w:rPr>
          <w:noProof/>
        </w:rPr>
        <w:t>Table 16. Enforcement Summary Pursuant to the RA program since 2006</w:t>
      </w:r>
      <w:r>
        <w:rPr>
          <w:noProof/>
        </w:rPr>
        <w:tab/>
      </w:r>
      <w:r>
        <w:rPr>
          <w:noProof/>
        </w:rPr>
        <w:fldChar w:fldCharType="begin"/>
      </w:r>
      <w:r>
        <w:rPr>
          <w:noProof/>
        </w:rPr>
        <w:instrText xml:space="preserve"> PAGEREF _Toc347827086 \h </w:instrText>
      </w:r>
      <w:r>
        <w:rPr>
          <w:noProof/>
        </w:rPr>
      </w:r>
      <w:r>
        <w:rPr>
          <w:noProof/>
        </w:rPr>
        <w:fldChar w:fldCharType="separate"/>
      </w:r>
      <w:r>
        <w:rPr>
          <w:noProof/>
        </w:rPr>
        <w:t>28</w:t>
      </w:r>
      <w:r>
        <w:rPr>
          <w:noProof/>
        </w:rPr>
        <w:fldChar w:fldCharType="end"/>
      </w:r>
    </w:p>
    <w:p w:rsidR="00B3535E" w:rsidRDefault="00B3535E">
      <w:pPr>
        <w:pStyle w:val="TableofFigures"/>
        <w:tabs>
          <w:tab w:val="right" w:leader="dot" w:pos="8630"/>
        </w:tabs>
        <w:rPr>
          <w:rFonts w:asciiTheme="minorHAnsi" w:eastAsiaTheme="minorEastAsia" w:hAnsiTheme="minorHAnsi" w:cstheme="minorBidi"/>
          <w:noProof/>
          <w:sz w:val="22"/>
          <w:szCs w:val="22"/>
        </w:rPr>
      </w:pPr>
      <w:r>
        <w:rPr>
          <w:noProof/>
        </w:rPr>
        <w:t>Table 17 2011 SCP charges ($)</w:t>
      </w:r>
      <w:r>
        <w:rPr>
          <w:noProof/>
        </w:rPr>
        <w:tab/>
      </w:r>
      <w:r>
        <w:rPr>
          <w:noProof/>
        </w:rPr>
        <w:fldChar w:fldCharType="begin"/>
      </w:r>
      <w:r>
        <w:rPr>
          <w:noProof/>
        </w:rPr>
        <w:instrText xml:space="preserve"> PAGEREF _Toc347827087 \h </w:instrText>
      </w:r>
      <w:r>
        <w:rPr>
          <w:noProof/>
        </w:rPr>
      </w:r>
      <w:r>
        <w:rPr>
          <w:noProof/>
        </w:rPr>
        <w:fldChar w:fldCharType="separate"/>
      </w:r>
      <w:r>
        <w:rPr>
          <w:noProof/>
        </w:rPr>
        <w:t>30</w:t>
      </w:r>
      <w:r>
        <w:rPr>
          <w:noProof/>
        </w:rPr>
        <w:fldChar w:fldCharType="end"/>
      </w:r>
    </w:p>
    <w:p w:rsidR="00B3535E" w:rsidRDefault="00B3535E">
      <w:pPr>
        <w:pStyle w:val="TableofFigures"/>
        <w:tabs>
          <w:tab w:val="right" w:leader="dot" w:pos="8630"/>
        </w:tabs>
        <w:rPr>
          <w:rFonts w:asciiTheme="minorHAnsi" w:eastAsiaTheme="minorEastAsia" w:hAnsiTheme="minorHAnsi" w:cstheme="minorBidi"/>
          <w:noProof/>
          <w:sz w:val="22"/>
          <w:szCs w:val="22"/>
        </w:rPr>
      </w:pPr>
      <w:r w:rsidRPr="0061424E">
        <w:rPr>
          <w:noProof/>
        </w:rPr>
        <w:t>Table 18. Total CAISO LSE Procurement as Percentage of Total CAISO Obligation</w:t>
      </w:r>
      <w:r>
        <w:rPr>
          <w:noProof/>
        </w:rPr>
        <w:tab/>
      </w:r>
      <w:r>
        <w:rPr>
          <w:noProof/>
        </w:rPr>
        <w:fldChar w:fldCharType="begin"/>
      </w:r>
      <w:r>
        <w:rPr>
          <w:noProof/>
        </w:rPr>
        <w:instrText xml:space="preserve"> PAGEREF _Toc347827088 \h </w:instrText>
      </w:r>
      <w:r>
        <w:rPr>
          <w:noProof/>
        </w:rPr>
      </w:r>
      <w:r>
        <w:rPr>
          <w:noProof/>
        </w:rPr>
        <w:fldChar w:fldCharType="separate"/>
      </w:r>
      <w:r>
        <w:rPr>
          <w:noProof/>
        </w:rPr>
        <w:t>32</w:t>
      </w:r>
      <w:r>
        <w:rPr>
          <w:noProof/>
        </w:rPr>
        <w:fldChar w:fldCharType="end"/>
      </w:r>
    </w:p>
    <w:p w:rsidR="00B3535E" w:rsidRDefault="00B3535E">
      <w:pPr>
        <w:pStyle w:val="TableofFigures"/>
        <w:tabs>
          <w:tab w:val="right" w:leader="dot" w:pos="8630"/>
        </w:tabs>
        <w:rPr>
          <w:rFonts w:asciiTheme="minorHAnsi" w:eastAsiaTheme="minorEastAsia" w:hAnsiTheme="minorHAnsi" w:cstheme="minorBidi"/>
          <w:noProof/>
          <w:sz w:val="22"/>
          <w:szCs w:val="22"/>
        </w:rPr>
      </w:pPr>
      <w:r>
        <w:rPr>
          <w:noProof/>
        </w:rPr>
        <w:t>Table 19 ExD by reason and by month (MWh)</w:t>
      </w:r>
      <w:r>
        <w:rPr>
          <w:noProof/>
        </w:rPr>
        <w:tab/>
      </w:r>
      <w:r>
        <w:rPr>
          <w:noProof/>
        </w:rPr>
        <w:fldChar w:fldCharType="begin"/>
      </w:r>
      <w:r>
        <w:rPr>
          <w:noProof/>
        </w:rPr>
        <w:instrText xml:space="preserve"> PAGEREF _Toc347827089 \h </w:instrText>
      </w:r>
      <w:r>
        <w:rPr>
          <w:noProof/>
        </w:rPr>
      </w:r>
      <w:r>
        <w:rPr>
          <w:noProof/>
        </w:rPr>
        <w:fldChar w:fldCharType="separate"/>
      </w:r>
      <w:r>
        <w:rPr>
          <w:noProof/>
        </w:rPr>
        <w:t>33</w:t>
      </w:r>
      <w:r>
        <w:rPr>
          <w:noProof/>
        </w:rPr>
        <w:fldChar w:fldCharType="end"/>
      </w:r>
    </w:p>
    <w:p w:rsidR="00AE7D50" w:rsidRPr="00AD151D" w:rsidRDefault="00AE7D50">
      <w:pPr>
        <w:pStyle w:val="TableofFigures"/>
        <w:tabs>
          <w:tab w:val="right" w:leader="dot" w:pos="8630"/>
        </w:tabs>
        <w:rPr>
          <w:b/>
        </w:rPr>
      </w:pPr>
      <w:r w:rsidRPr="00AD151D">
        <w:rPr>
          <w:b/>
        </w:rPr>
        <w:fldChar w:fldCharType="end"/>
      </w:r>
    </w:p>
    <w:p w:rsidR="00AE7D50" w:rsidRPr="00AD151D" w:rsidRDefault="00AE7D50">
      <w:pPr>
        <w:pStyle w:val="Heading1"/>
        <w:numPr>
          <w:ilvl w:val="0"/>
          <w:numId w:val="0"/>
        </w:numPr>
        <w:spacing w:before="0"/>
      </w:pPr>
      <w:bookmarkStart w:id="5" w:name="_Toc347827040"/>
      <w:r w:rsidRPr="00AD151D">
        <w:t>Index of Figures</w:t>
      </w:r>
      <w:bookmarkEnd w:id="5"/>
    </w:p>
    <w:p w:rsidR="00B3535E" w:rsidRDefault="00AE7D50">
      <w:pPr>
        <w:pStyle w:val="TableofFigures"/>
        <w:tabs>
          <w:tab w:val="right" w:leader="dot" w:pos="8630"/>
        </w:tabs>
        <w:rPr>
          <w:rFonts w:asciiTheme="minorHAnsi" w:eastAsiaTheme="minorEastAsia" w:hAnsiTheme="minorHAnsi" w:cstheme="minorBidi"/>
          <w:noProof/>
          <w:sz w:val="22"/>
          <w:szCs w:val="22"/>
        </w:rPr>
      </w:pPr>
      <w:r w:rsidRPr="00AD151D">
        <w:fldChar w:fldCharType="begin"/>
      </w:r>
      <w:r w:rsidRPr="00AD151D">
        <w:instrText xml:space="preserve"> TOC \c "Figure" </w:instrText>
      </w:r>
      <w:r w:rsidRPr="00AD151D">
        <w:fldChar w:fldCharType="separate"/>
      </w:r>
      <w:r w:rsidR="00B3535E">
        <w:rPr>
          <w:noProof/>
        </w:rPr>
        <w:t xml:space="preserve">Figure </w:t>
      </w:r>
      <w:r w:rsidR="00B3535E" w:rsidRPr="007662D1">
        <w:rPr>
          <w:noProof/>
        </w:rPr>
        <w:t>1</w:t>
      </w:r>
      <w:r w:rsidR="00B3535E">
        <w:rPr>
          <w:noProof/>
        </w:rPr>
        <w:t>. Monthly Net Migration Adjustments from 2007-2011</w:t>
      </w:r>
      <w:r w:rsidR="00B3535E">
        <w:rPr>
          <w:noProof/>
        </w:rPr>
        <w:tab/>
      </w:r>
      <w:r w:rsidR="00B3535E">
        <w:rPr>
          <w:noProof/>
        </w:rPr>
        <w:fldChar w:fldCharType="begin"/>
      </w:r>
      <w:r w:rsidR="00B3535E">
        <w:rPr>
          <w:noProof/>
        </w:rPr>
        <w:instrText xml:space="preserve"> PAGEREF _Toc347827090 \h </w:instrText>
      </w:r>
      <w:r w:rsidR="00B3535E">
        <w:rPr>
          <w:noProof/>
        </w:rPr>
      </w:r>
      <w:r w:rsidR="00B3535E">
        <w:rPr>
          <w:noProof/>
        </w:rPr>
        <w:fldChar w:fldCharType="separate"/>
      </w:r>
      <w:r w:rsidR="00B3535E">
        <w:rPr>
          <w:noProof/>
        </w:rPr>
        <w:t>8</w:t>
      </w:r>
      <w:r w:rsidR="00B3535E">
        <w:rPr>
          <w:noProof/>
        </w:rPr>
        <w:fldChar w:fldCharType="end"/>
      </w:r>
    </w:p>
    <w:p w:rsidR="00B3535E" w:rsidRDefault="00B3535E">
      <w:pPr>
        <w:pStyle w:val="TableofFigures"/>
        <w:tabs>
          <w:tab w:val="right" w:leader="dot" w:pos="8630"/>
        </w:tabs>
        <w:rPr>
          <w:rFonts w:asciiTheme="minorHAnsi" w:eastAsiaTheme="minorEastAsia" w:hAnsiTheme="minorHAnsi" w:cstheme="minorBidi"/>
          <w:noProof/>
          <w:sz w:val="22"/>
          <w:szCs w:val="22"/>
        </w:rPr>
      </w:pPr>
      <w:r>
        <w:rPr>
          <w:noProof/>
        </w:rPr>
        <w:t>Figure 2. Total CAISO Summer 2011 Forward Procurement Obligation and Forward Procurement vs. LSE Demand Forecast and Actual Monthly Peak Demand (MW)</w:t>
      </w:r>
      <w:r>
        <w:rPr>
          <w:noProof/>
        </w:rPr>
        <w:tab/>
      </w:r>
      <w:r>
        <w:rPr>
          <w:noProof/>
        </w:rPr>
        <w:fldChar w:fldCharType="begin"/>
      </w:r>
      <w:r>
        <w:rPr>
          <w:noProof/>
        </w:rPr>
        <w:instrText xml:space="preserve"> PAGEREF _Toc347827091 \h </w:instrText>
      </w:r>
      <w:r>
        <w:rPr>
          <w:noProof/>
        </w:rPr>
      </w:r>
      <w:r>
        <w:rPr>
          <w:noProof/>
        </w:rPr>
        <w:fldChar w:fldCharType="separate"/>
      </w:r>
      <w:r>
        <w:rPr>
          <w:noProof/>
        </w:rPr>
        <w:t>12</w:t>
      </w:r>
      <w:r>
        <w:rPr>
          <w:noProof/>
        </w:rPr>
        <w:fldChar w:fldCharType="end"/>
      </w:r>
    </w:p>
    <w:p w:rsidR="00B3535E" w:rsidRDefault="00B3535E">
      <w:pPr>
        <w:pStyle w:val="TableofFigures"/>
        <w:tabs>
          <w:tab w:val="right" w:leader="dot" w:pos="8630"/>
        </w:tabs>
        <w:rPr>
          <w:rFonts w:asciiTheme="minorHAnsi" w:eastAsiaTheme="minorEastAsia" w:hAnsiTheme="minorHAnsi" w:cstheme="minorBidi"/>
          <w:noProof/>
          <w:sz w:val="22"/>
          <w:szCs w:val="22"/>
        </w:rPr>
      </w:pPr>
      <w:r>
        <w:rPr>
          <w:noProof/>
        </w:rPr>
        <w:t>Figure 3 Breakdown of prices paid for RA only contracts in data set</w:t>
      </w:r>
      <w:r>
        <w:rPr>
          <w:noProof/>
        </w:rPr>
        <w:tab/>
      </w:r>
      <w:r>
        <w:rPr>
          <w:noProof/>
        </w:rPr>
        <w:fldChar w:fldCharType="begin"/>
      </w:r>
      <w:r>
        <w:rPr>
          <w:noProof/>
        </w:rPr>
        <w:instrText xml:space="preserve"> PAGEREF _Toc347827092 \h </w:instrText>
      </w:r>
      <w:r>
        <w:rPr>
          <w:noProof/>
        </w:rPr>
      </w:r>
      <w:r>
        <w:rPr>
          <w:noProof/>
        </w:rPr>
        <w:fldChar w:fldCharType="separate"/>
      </w:r>
      <w:r>
        <w:rPr>
          <w:noProof/>
        </w:rPr>
        <w:t>23</w:t>
      </w:r>
      <w:r>
        <w:rPr>
          <w:noProof/>
        </w:rPr>
        <w:fldChar w:fldCharType="end"/>
      </w:r>
    </w:p>
    <w:p w:rsidR="00B3535E" w:rsidRDefault="00B3535E">
      <w:pPr>
        <w:pStyle w:val="TableofFigures"/>
        <w:tabs>
          <w:tab w:val="right" w:leader="dot" w:pos="8630"/>
        </w:tabs>
        <w:rPr>
          <w:rFonts w:asciiTheme="minorHAnsi" w:eastAsiaTheme="minorEastAsia" w:hAnsiTheme="minorHAnsi" w:cstheme="minorBidi"/>
          <w:noProof/>
          <w:sz w:val="22"/>
          <w:szCs w:val="22"/>
        </w:rPr>
      </w:pPr>
      <w:r>
        <w:rPr>
          <w:noProof/>
        </w:rPr>
        <w:t>Figure 4 Breakdown of prices paid for RA only contracts with System Resources</w:t>
      </w:r>
      <w:r>
        <w:rPr>
          <w:noProof/>
        </w:rPr>
        <w:tab/>
      </w:r>
      <w:r>
        <w:rPr>
          <w:noProof/>
        </w:rPr>
        <w:fldChar w:fldCharType="begin"/>
      </w:r>
      <w:r>
        <w:rPr>
          <w:noProof/>
        </w:rPr>
        <w:instrText xml:space="preserve"> PAGEREF _Toc347827093 \h </w:instrText>
      </w:r>
      <w:r>
        <w:rPr>
          <w:noProof/>
        </w:rPr>
      </w:r>
      <w:r>
        <w:rPr>
          <w:noProof/>
        </w:rPr>
        <w:fldChar w:fldCharType="separate"/>
      </w:r>
      <w:r>
        <w:rPr>
          <w:noProof/>
        </w:rPr>
        <w:t>23</w:t>
      </w:r>
      <w:r>
        <w:rPr>
          <w:noProof/>
        </w:rPr>
        <w:fldChar w:fldCharType="end"/>
      </w:r>
    </w:p>
    <w:p w:rsidR="00B3535E" w:rsidRDefault="00B3535E">
      <w:pPr>
        <w:pStyle w:val="TableofFigures"/>
        <w:tabs>
          <w:tab w:val="right" w:leader="dot" w:pos="8630"/>
        </w:tabs>
        <w:rPr>
          <w:rFonts w:asciiTheme="minorHAnsi" w:eastAsiaTheme="minorEastAsia" w:hAnsiTheme="minorHAnsi" w:cstheme="minorBidi"/>
          <w:noProof/>
          <w:sz w:val="22"/>
          <w:szCs w:val="22"/>
        </w:rPr>
      </w:pPr>
      <w:r>
        <w:rPr>
          <w:noProof/>
        </w:rPr>
        <w:t>Figure 5 Breakdown of prices paid for RA contracts with NP26 Resources</w:t>
      </w:r>
      <w:r>
        <w:rPr>
          <w:noProof/>
        </w:rPr>
        <w:tab/>
      </w:r>
      <w:r>
        <w:rPr>
          <w:noProof/>
        </w:rPr>
        <w:fldChar w:fldCharType="begin"/>
      </w:r>
      <w:r>
        <w:rPr>
          <w:noProof/>
        </w:rPr>
        <w:instrText xml:space="preserve"> PAGEREF _Toc347827094 \h </w:instrText>
      </w:r>
      <w:r>
        <w:rPr>
          <w:noProof/>
        </w:rPr>
      </w:r>
      <w:r>
        <w:rPr>
          <w:noProof/>
        </w:rPr>
        <w:fldChar w:fldCharType="separate"/>
      </w:r>
      <w:r>
        <w:rPr>
          <w:noProof/>
        </w:rPr>
        <w:t>24</w:t>
      </w:r>
      <w:r>
        <w:rPr>
          <w:noProof/>
        </w:rPr>
        <w:fldChar w:fldCharType="end"/>
      </w:r>
    </w:p>
    <w:p w:rsidR="00B3535E" w:rsidRDefault="00B3535E">
      <w:pPr>
        <w:pStyle w:val="TableofFigures"/>
        <w:tabs>
          <w:tab w:val="right" w:leader="dot" w:pos="8630"/>
        </w:tabs>
        <w:rPr>
          <w:rFonts w:asciiTheme="minorHAnsi" w:eastAsiaTheme="minorEastAsia" w:hAnsiTheme="minorHAnsi" w:cstheme="minorBidi"/>
          <w:noProof/>
          <w:sz w:val="22"/>
          <w:szCs w:val="22"/>
        </w:rPr>
      </w:pPr>
      <w:r>
        <w:rPr>
          <w:noProof/>
        </w:rPr>
        <w:t>Figure 6 Breakdown of prices paid for RA only contracts with SP26 Resources</w:t>
      </w:r>
      <w:r>
        <w:rPr>
          <w:noProof/>
        </w:rPr>
        <w:tab/>
      </w:r>
      <w:r>
        <w:rPr>
          <w:noProof/>
        </w:rPr>
        <w:fldChar w:fldCharType="begin"/>
      </w:r>
      <w:r>
        <w:rPr>
          <w:noProof/>
        </w:rPr>
        <w:instrText xml:space="preserve"> PAGEREF _Toc347827095 \h </w:instrText>
      </w:r>
      <w:r>
        <w:rPr>
          <w:noProof/>
        </w:rPr>
      </w:r>
      <w:r>
        <w:rPr>
          <w:noProof/>
        </w:rPr>
        <w:fldChar w:fldCharType="separate"/>
      </w:r>
      <w:r>
        <w:rPr>
          <w:noProof/>
        </w:rPr>
        <w:t>24</w:t>
      </w:r>
      <w:r>
        <w:rPr>
          <w:noProof/>
        </w:rPr>
        <w:fldChar w:fldCharType="end"/>
      </w:r>
    </w:p>
    <w:p w:rsidR="00B3535E" w:rsidRDefault="00B3535E">
      <w:pPr>
        <w:pStyle w:val="TableofFigures"/>
        <w:tabs>
          <w:tab w:val="right" w:leader="dot" w:pos="8630"/>
        </w:tabs>
        <w:rPr>
          <w:rFonts w:asciiTheme="minorHAnsi" w:eastAsiaTheme="minorEastAsia" w:hAnsiTheme="minorHAnsi" w:cstheme="minorBidi"/>
          <w:noProof/>
          <w:sz w:val="22"/>
          <w:szCs w:val="22"/>
        </w:rPr>
      </w:pPr>
      <w:r>
        <w:rPr>
          <w:noProof/>
        </w:rPr>
        <w:t>Figure 7 Breakdown of prices paid for Local RA only contracts</w:t>
      </w:r>
      <w:r>
        <w:rPr>
          <w:noProof/>
        </w:rPr>
        <w:tab/>
      </w:r>
      <w:r>
        <w:rPr>
          <w:noProof/>
        </w:rPr>
        <w:fldChar w:fldCharType="begin"/>
      </w:r>
      <w:r>
        <w:rPr>
          <w:noProof/>
        </w:rPr>
        <w:instrText xml:space="preserve"> PAGEREF _Toc347827096 \h </w:instrText>
      </w:r>
      <w:r>
        <w:rPr>
          <w:noProof/>
        </w:rPr>
      </w:r>
      <w:r>
        <w:rPr>
          <w:noProof/>
        </w:rPr>
        <w:fldChar w:fldCharType="separate"/>
      </w:r>
      <w:r>
        <w:rPr>
          <w:noProof/>
        </w:rPr>
        <w:t>25</w:t>
      </w:r>
      <w:r>
        <w:rPr>
          <w:noProof/>
        </w:rPr>
        <w:fldChar w:fldCharType="end"/>
      </w:r>
    </w:p>
    <w:p w:rsidR="00B3535E" w:rsidRDefault="00B3535E">
      <w:pPr>
        <w:pStyle w:val="TableofFigures"/>
        <w:tabs>
          <w:tab w:val="right" w:leader="dot" w:pos="8630"/>
        </w:tabs>
        <w:rPr>
          <w:rFonts w:asciiTheme="minorHAnsi" w:eastAsiaTheme="minorEastAsia" w:hAnsiTheme="minorHAnsi" w:cstheme="minorBidi"/>
          <w:noProof/>
          <w:sz w:val="22"/>
          <w:szCs w:val="22"/>
        </w:rPr>
      </w:pPr>
      <w:r>
        <w:rPr>
          <w:noProof/>
        </w:rPr>
        <w:t>Figure 8 Local RA Prices Paid NP26</w:t>
      </w:r>
      <w:r>
        <w:rPr>
          <w:noProof/>
        </w:rPr>
        <w:tab/>
      </w:r>
      <w:r>
        <w:rPr>
          <w:noProof/>
        </w:rPr>
        <w:fldChar w:fldCharType="begin"/>
      </w:r>
      <w:r>
        <w:rPr>
          <w:noProof/>
        </w:rPr>
        <w:instrText xml:space="preserve"> PAGEREF _Toc347827097 \h </w:instrText>
      </w:r>
      <w:r>
        <w:rPr>
          <w:noProof/>
        </w:rPr>
      </w:r>
      <w:r>
        <w:rPr>
          <w:noProof/>
        </w:rPr>
        <w:fldChar w:fldCharType="separate"/>
      </w:r>
      <w:r>
        <w:rPr>
          <w:noProof/>
        </w:rPr>
        <w:t>25</w:t>
      </w:r>
      <w:r>
        <w:rPr>
          <w:noProof/>
        </w:rPr>
        <w:fldChar w:fldCharType="end"/>
      </w:r>
    </w:p>
    <w:p w:rsidR="00B3535E" w:rsidRDefault="00B3535E">
      <w:pPr>
        <w:pStyle w:val="TableofFigures"/>
        <w:tabs>
          <w:tab w:val="right" w:leader="dot" w:pos="8630"/>
        </w:tabs>
        <w:rPr>
          <w:rFonts w:asciiTheme="minorHAnsi" w:eastAsiaTheme="minorEastAsia" w:hAnsiTheme="minorHAnsi" w:cstheme="minorBidi"/>
          <w:noProof/>
          <w:sz w:val="22"/>
          <w:szCs w:val="22"/>
        </w:rPr>
      </w:pPr>
      <w:r>
        <w:rPr>
          <w:noProof/>
        </w:rPr>
        <w:t>Figure 9 Local RA Prices Paid SP 26</w:t>
      </w:r>
      <w:r>
        <w:rPr>
          <w:noProof/>
        </w:rPr>
        <w:tab/>
      </w:r>
      <w:r>
        <w:rPr>
          <w:noProof/>
        </w:rPr>
        <w:fldChar w:fldCharType="begin"/>
      </w:r>
      <w:r>
        <w:rPr>
          <w:noProof/>
        </w:rPr>
        <w:instrText xml:space="preserve"> PAGEREF _Toc347827098 \h </w:instrText>
      </w:r>
      <w:r>
        <w:rPr>
          <w:noProof/>
        </w:rPr>
      </w:r>
      <w:r>
        <w:rPr>
          <w:noProof/>
        </w:rPr>
        <w:fldChar w:fldCharType="separate"/>
      </w:r>
      <w:r>
        <w:rPr>
          <w:noProof/>
        </w:rPr>
        <w:t>26</w:t>
      </w:r>
      <w:r>
        <w:rPr>
          <w:noProof/>
        </w:rPr>
        <w:fldChar w:fldCharType="end"/>
      </w:r>
    </w:p>
    <w:p w:rsidR="00B3535E" w:rsidRDefault="00B3535E">
      <w:pPr>
        <w:pStyle w:val="TableofFigures"/>
        <w:tabs>
          <w:tab w:val="right" w:leader="dot" w:pos="8630"/>
        </w:tabs>
        <w:rPr>
          <w:rFonts w:asciiTheme="minorHAnsi" w:eastAsiaTheme="minorEastAsia" w:hAnsiTheme="minorHAnsi" w:cstheme="minorBidi"/>
          <w:noProof/>
          <w:sz w:val="22"/>
          <w:szCs w:val="22"/>
        </w:rPr>
      </w:pPr>
      <w:r>
        <w:rPr>
          <w:noProof/>
        </w:rPr>
        <w:t>Figure 10  Average Actual Availability 2011</w:t>
      </w:r>
      <w:r>
        <w:rPr>
          <w:noProof/>
        </w:rPr>
        <w:tab/>
      </w:r>
      <w:r>
        <w:rPr>
          <w:noProof/>
        </w:rPr>
        <w:fldChar w:fldCharType="begin"/>
      </w:r>
      <w:r>
        <w:rPr>
          <w:noProof/>
        </w:rPr>
        <w:instrText xml:space="preserve"> PAGEREF _Toc347827099 \h </w:instrText>
      </w:r>
      <w:r>
        <w:rPr>
          <w:noProof/>
        </w:rPr>
      </w:r>
      <w:r>
        <w:rPr>
          <w:noProof/>
        </w:rPr>
        <w:fldChar w:fldCharType="separate"/>
      </w:r>
      <w:r>
        <w:rPr>
          <w:noProof/>
        </w:rPr>
        <w:t>31</w:t>
      </w:r>
      <w:r>
        <w:rPr>
          <w:noProof/>
        </w:rPr>
        <w:fldChar w:fldCharType="end"/>
      </w:r>
    </w:p>
    <w:p w:rsidR="00AE7D50" w:rsidRPr="00AD151D" w:rsidRDefault="00AE7D50">
      <w:pPr>
        <w:rPr>
          <w:b/>
        </w:rPr>
      </w:pPr>
      <w:r w:rsidRPr="00AD151D">
        <w:fldChar w:fldCharType="end"/>
      </w:r>
      <w:bookmarkStart w:id="6" w:name="_Toc221697656"/>
      <w:bookmarkStart w:id="7" w:name="_Toc223253243"/>
      <w:bookmarkStart w:id="8" w:name="_Toc223315651"/>
      <w:bookmarkStart w:id="9" w:name="_Toc224022426"/>
    </w:p>
    <w:p w:rsidR="00AE7D50" w:rsidRPr="00AD151D" w:rsidRDefault="00AE7D50">
      <w:pPr>
        <w:keepNext/>
        <w:keepLines/>
        <w:rPr>
          <w:b/>
        </w:rPr>
      </w:pPr>
      <w:r w:rsidRPr="00AD151D">
        <w:rPr>
          <w:b/>
        </w:rPr>
        <w:lastRenderedPageBreak/>
        <w:t>Table of Acronyms</w:t>
      </w:r>
      <w:bookmarkEnd w:id="6"/>
    </w:p>
    <w:tbl>
      <w:tblPr>
        <w:tblW w:w="6768" w:type="dxa"/>
        <w:tblLook w:val="0000" w:firstRow="0" w:lastRow="0" w:firstColumn="0" w:lastColumn="0" w:noHBand="0" w:noVBand="0"/>
      </w:tblPr>
      <w:tblGrid>
        <w:gridCol w:w="960"/>
        <w:gridCol w:w="2208"/>
        <w:gridCol w:w="960"/>
        <w:gridCol w:w="2640"/>
      </w:tblGrid>
      <w:tr w:rsidR="00AE7D50" w:rsidRPr="00AD151D">
        <w:trPr>
          <w:trHeight w:val="315"/>
        </w:trPr>
        <w:tc>
          <w:tcPr>
            <w:tcW w:w="960" w:type="dxa"/>
            <w:tcBorders>
              <w:top w:val="single" w:sz="8" w:space="0" w:color="auto"/>
              <w:left w:val="single" w:sz="8" w:space="0" w:color="auto"/>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AS</w:t>
            </w:r>
          </w:p>
        </w:tc>
        <w:tc>
          <w:tcPr>
            <w:tcW w:w="2208" w:type="dxa"/>
            <w:tcBorders>
              <w:top w:val="single" w:sz="8" w:space="0" w:color="auto"/>
              <w:left w:val="nil"/>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 xml:space="preserve">Ancillary Services </w:t>
            </w:r>
          </w:p>
        </w:tc>
        <w:tc>
          <w:tcPr>
            <w:tcW w:w="960" w:type="dxa"/>
            <w:tcBorders>
              <w:top w:val="single" w:sz="8" w:space="0" w:color="auto"/>
              <w:left w:val="nil"/>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LI</w:t>
            </w:r>
          </w:p>
        </w:tc>
        <w:tc>
          <w:tcPr>
            <w:tcW w:w="2640" w:type="dxa"/>
            <w:tcBorders>
              <w:top w:val="single" w:sz="8" w:space="0" w:color="auto"/>
              <w:left w:val="nil"/>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 xml:space="preserve">Load Impact </w:t>
            </w:r>
          </w:p>
        </w:tc>
      </w:tr>
      <w:tr w:rsidR="00AE7D50" w:rsidRPr="00AD151D">
        <w:trPr>
          <w:trHeight w:val="178"/>
        </w:trPr>
        <w:tc>
          <w:tcPr>
            <w:tcW w:w="960" w:type="dxa"/>
            <w:tcBorders>
              <w:top w:val="nil"/>
              <w:left w:val="single" w:sz="8" w:space="0" w:color="auto"/>
              <w:bottom w:val="single" w:sz="8" w:space="0" w:color="auto"/>
              <w:right w:val="single" w:sz="8" w:space="0" w:color="auto"/>
            </w:tcBorders>
            <w:noWrap/>
            <w:vAlign w:val="bottom"/>
          </w:tcPr>
          <w:p w:rsidR="00AE7D50" w:rsidRPr="00AD151D" w:rsidRDefault="00AE7D50">
            <w:pPr>
              <w:keepNext/>
              <w:keepLines/>
              <w:rPr>
                <w:color w:val="000000"/>
              </w:rPr>
            </w:pPr>
            <w:r w:rsidRPr="00AD151D">
              <w:rPr>
                <w:color w:val="000000"/>
                <w:sz w:val="22"/>
                <w:szCs w:val="22"/>
              </w:rPr>
              <w:t>BCR</w:t>
            </w:r>
          </w:p>
        </w:tc>
        <w:tc>
          <w:tcPr>
            <w:tcW w:w="2208" w:type="dxa"/>
            <w:tcBorders>
              <w:top w:val="nil"/>
              <w:left w:val="nil"/>
              <w:bottom w:val="single" w:sz="8" w:space="0" w:color="auto"/>
              <w:right w:val="single" w:sz="8" w:space="0" w:color="auto"/>
            </w:tcBorders>
            <w:noWrap/>
            <w:vAlign w:val="bottom"/>
          </w:tcPr>
          <w:p w:rsidR="00AE7D50" w:rsidRPr="00AD151D" w:rsidRDefault="00AE7D50">
            <w:pPr>
              <w:keepNext/>
              <w:keepLines/>
              <w:rPr>
                <w:color w:val="000000"/>
              </w:rPr>
            </w:pPr>
            <w:r w:rsidRPr="00AD151D">
              <w:rPr>
                <w:color w:val="000000"/>
                <w:sz w:val="22"/>
                <w:szCs w:val="22"/>
              </w:rPr>
              <w:t>Bid Cost Recovery</w:t>
            </w:r>
          </w:p>
        </w:tc>
        <w:tc>
          <w:tcPr>
            <w:tcW w:w="960" w:type="dxa"/>
            <w:tcBorders>
              <w:top w:val="nil"/>
              <w:left w:val="nil"/>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LOLP</w:t>
            </w:r>
          </w:p>
        </w:tc>
        <w:tc>
          <w:tcPr>
            <w:tcW w:w="2640" w:type="dxa"/>
            <w:tcBorders>
              <w:top w:val="nil"/>
              <w:left w:val="nil"/>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Loss of Load Probability</w:t>
            </w:r>
          </w:p>
        </w:tc>
      </w:tr>
      <w:tr w:rsidR="00AE7D50" w:rsidRPr="00AD151D">
        <w:trPr>
          <w:trHeight w:val="700"/>
        </w:trPr>
        <w:tc>
          <w:tcPr>
            <w:tcW w:w="960" w:type="dxa"/>
            <w:tcBorders>
              <w:top w:val="nil"/>
              <w:left w:val="single" w:sz="8" w:space="0" w:color="auto"/>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CAISO</w:t>
            </w:r>
          </w:p>
        </w:tc>
        <w:tc>
          <w:tcPr>
            <w:tcW w:w="2208" w:type="dxa"/>
            <w:tcBorders>
              <w:top w:val="nil"/>
              <w:left w:val="nil"/>
              <w:bottom w:val="single" w:sz="8" w:space="0" w:color="auto"/>
              <w:right w:val="single" w:sz="8" w:space="0" w:color="auto"/>
            </w:tcBorders>
            <w:vAlign w:val="bottom"/>
          </w:tcPr>
          <w:p w:rsidR="00AE7D50" w:rsidRPr="00AD151D" w:rsidRDefault="00AE7D50">
            <w:pPr>
              <w:keepNext/>
              <w:keepLines/>
              <w:rPr>
                <w:color w:val="000000"/>
              </w:rPr>
            </w:pPr>
            <w:smartTag w:uri="urn:schemas-microsoft-com:office:smarttags" w:element="place">
              <w:smartTag w:uri="urn:schemas-microsoft-com:office:smarttags" w:element="State">
                <w:r w:rsidRPr="00AD151D">
                  <w:rPr>
                    <w:color w:val="000000"/>
                    <w:sz w:val="22"/>
                    <w:szCs w:val="22"/>
                  </w:rPr>
                  <w:t>California</w:t>
                </w:r>
              </w:smartTag>
            </w:smartTag>
            <w:r w:rsidRPr="00AD151D">
              <w:rPr>
                <w:color w:val="000000"/>
                <w:sz w:val="22"/>
                <w:szCs w:val="22"/>
              </w:rPr>
              <w:t xml:space="preserve"> Independent System Operator</w:t>
            </w:r>
          </w:p>
        </w:tc>
        <w:tc>
          <w:tcPr>
            <w:tcW w:w="960" w:type="dxa"/>
            <w:tcBorders>
              <w:top w:val="nil"/>
              <w:left w:val="nil"/>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LSE</w:t>
            </w:r>
          </w:p>
        </w:tc>
        <w:tc>
          <w:tcPr>
            <w:tcW w:w="2640" w:type="dxa"/>
            <w:tcBorders>
              <w:top w:val="nil"/>
              <w:left w:val="nil"/>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Load Serving Entity</w:t>
            </w:r>
          </w:p>
        </w:tc>
      </w:tr>
      <w:tr w:rsidR="00AE7D50" w:rsidRPr="00AD151D">
        <w:trPr>
          <w:trHeight w:val="475"/>
        </w:trPr>
        <w:tc>
          <w:tcPr>
            <w:tcW w:w="960" w:type="dxa"/>
            <w:tcBorders>
              <w:top w:val="nil"/>
              <w:left w:val="single" w:sz="8" w:space="0" w:color="auto"/>
              <w:bottom w:val="single" w:sz="8" w:space="0" w:color="auto"/>
              <w:right w:val="single" w:sz="8" w:space="0" w:color="auto"/>
            </w:tcBorders>
            <w:vAlign w:val="bottom"/>
          </w:tcPr>
          <w:p w:rsidR="00AE7D50" w:rsidRPr="00AD151D" w:rsidRDefault="00AE7D50">
            <w:pPr>
              <w:keepNext/>
              <w:keepLines/>
              <w:rPr>
                <w:color w:val="000000"/>
              </w:rPr>
            </w:pPr>
            <w:smartTag w:uri="urn:schemas-microsoft-com:office:smarttags" w:element="place">
              <w:r w:rsidRPr="00AD151D">
                <w:rPr>
                  <w:color w:val="000000"/>
                  <w:sz w:val="22"/>
                  <w:szCs w:val="22"/>
                </w:rPr>
                <w:t>CAM</w:t>
              </w:r>
            </w:smartTag>
            <w:r w:rsidRPr="00AD151D">
              <w:rPr>
                <w:color w:val="000000"/>
                <w:sz w:val="22"/>
                <w:szCs w:val="22"/>
              </w:rPr>
              <w:t xml:space="preserve"> </w:t>
            </w:r>
          </w:p>
        </w:tc>
        <w:tc>
          <w:tcPr>
            <w:tcW w:w="2208" w:type="dxa"/>
            <w:tcBorders>
              <w:top w:val="nil"/>
              <w:left w:val="nil"/>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 xml:space="preserve">Cost-Allocation Methodology </w:t>
            </w:r>
          </w:p>
        </w:tc>
        <w:tc>
          <w:tcPr>
            <w:tcW w:w="960" w:type="dxa"/>
            <w:tcBorders>
              <w:top w:val="nil"/>
              <w:left w:val="nil"/>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MCC</w:t>
            </w:r>
          </w:p>
        </w:tc>
        <w:tc>
          <w:tcPr>
            <w:tcW w:w="2640" w:type="dxa"/>
            <w:tcBorders>
              <w:top w:val="nil"/>
              <w:left w:val="nil"/>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 xml:space="preserve">Maximum Cumulative Capacity </w:t>
            </w:r>
          </w:p>
        </w:tc>
      </w:tr>
      <w:tr w:rsidR="00AE7D50" w:rsidRPr="00AD151D">
        <w:trPr>
          <w:trHeight w:val="313"/>
        </w:trPr>
        <w:tc>
          <w:tcPr>
            <w:tcW w:w="960" w:type="dxa"/>
            <w:tcBorders>
              <w:top w:val="nil"/>
              <w:left w:val="single" w:sz="8" w:space="0" w:color="auto"/>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CCGT</w:t>
            </w:r>
          </w:p>
        </w:tc>
        <w:tc>
          <w:tcPr>
            <w:tcW w:w="2208" w:type="dxa"/>
            <w:tcBorders>
              <w:top w:val="nil"/>
              <w:left w:val="nil"/>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 xml:space="preserve">Combined Cycle Gas Turbine </w:t>
            </w:r>
          </w:p>
        </w:tc>
        <w:tc>
          <w:tcPr>
            <w:tcW w:w="960" w:type="dxa"/>
            <w:tcBorders>
              <w:top w:val="nil"/>
              <w:left w:val="nil"/>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MOO</w:t>
            </w:r>
          </w:p>
        </w:tc>
        <w:tc>
          <w:tcPr>
            <w:tcW w:w="2640" w:type="dxa"/>
            <w:tcBorders>
              <w:top w:val="nil"/>
              <w:left w:val="nil"/>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 xml:space="preserve">Must Offer Obligation </w:t>
            </w:r>
          </w:p>
        </w:tc>
      </w:tr>
      <w:tr w:rsidR="00AE7D50" w:rsidRPr="00AD151D">
        <w:trPr>
          <w:trHeight w:val="151"/>
        </w:trPr>
        <w:tc>
          <w:tcPr>
            <w:tcW w:w="960" w:type="dxa"/>
            <w:tcBorders>
              <w:top w:val="nil"/>
              <w:left w:val="single" w:sz="8" w:space="0" w:color="auto"/>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CEC</w:t>
            </w:r>
          </w:p>
        </w:tc>
        <w:tc>
          <w:tcPr>
            <w:tcW w:w="2208" w:type="dxa"/>
            <w:tcBorders>
              <w:top w:val="nil"/>
              <w:left w:val="nil"/>
              <w:bottom w:val="single" w:sz="8" w:space="0" w:color="auto"/>
              <w:right w:val="single" w:sz="8" w:space="0" w:color="auto"/>
            </w:tcBorders>
            <w:vAlign w:val="bottom"/>
          </w:tcPr>
          <w:p w:rsidR="00AE7D50" w:rsidRPr="00AD151D" w:rsidRDefault="00AE7D50">
            <w:pPr>
              <w:keepNext/>
              <w:keepLines/>
              <w:rPr>
                <w:color w:val="000000"/>
              </w:rPr>
            </w:pPr>
            <w:smartTag w:uri="urn:schemas-microsoft-com:office:smarttags" w:element="place">
              <w:smartTag w:uri="urn:schemas-microsoft-com:office:smarttags" w:element="State">
                <w:r w:rsidRPr="00AD151D">
                  <w:rPr>
                    <w:color w:val="000000"/>
                    <w:sz w:val="22"/>
                    <w:szCs w:val="22"/>
                  </w:rPr>
                  <w:t>California</w:t>
                </w:r>
              </w:smartTag>
            </w:smartTag>
            <w:r w:rsidRPr="00AD151D">
              <w:rPr>
                <w:color w:val="000000"/>
                <w:sz w:val="22"/>
                <w:szCs w:val="22"/>
              </w:rPr>
              <w:t xml:space="preserve"> Energy Commission</w:t>
            </w:r>
          </w:p>
        </w:tc>
        <w:tc>
          <w:tcPr>
            <w:tcW w:w="960" w:type="dxa"/>
            <w:tcBorders>
              <w:top w:val="nil"/>
              <w:left w:val="nil"/>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MW</w:t>
            </w:r>
          </w:p>
        </w:tc>
        <w:tc>
          <w:tcPr>
            <w:tcW w:w="2640" w:type="dxa"/>
            <w:tcBorders>
              <w:top w:val="nil"/>
              <w:left w:val="nil"/>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Megawatt</w:t>
            </w:r>
          </w:p>
        </w:tc>
      </w:tr>
      <w:tr w:rsidR="00AE7D50" w:rsidRPr="00AD151D">
        <w:trPr>
          <w:trHeight w:val="54"/>
        </w:trPr>
        <w:tc>
          <w:tcPr>
            <w:tcW w:w="960" w:type="dxa"/>
            <w:tcBorders>
              <w:top w:val="nil"/>
              <w:left w:val="single" w:sz="8" w:space="0" w:color="auto"/>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DA</w:t>
            </w:r>
          </w:p>
        </w:tc>
        <w:tc>
          <w:tcPr>
            <w:tcW w:w="2208" w:type="dxa"/>
            <w:tcBorders>
              <w:top w:val="nil"/>
              <w:left w:val="nil"/>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Direct Access</w:t>
            </w:r>
          </w:p>
        </w:tc>
        <w:tc>
          <w:tcPr>
            <w:tcW w:w="960" w:type="dxa"/>
            <w:tcBorders>
              <w:top w:val="nil"/>
              <w:left w:val="nil"/>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NCF</w:t>
            </w:r>
          </w:p>
        </w:tc>
        <w:tc>
          <w:tcPr>
            <w:tcW w:w="2640" w:type="dxa"/>
            <w:tcBorders>
              <w:top w:val="nil"/>
              <w:left w:val="nil"/>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 xml:space="preserve">Net Capacity Factor </w:t>
            </w:r>
          </w:p>
        </w:tc>
      </w:tr>
      <w:tr w:rsidR="00AE7D50" w:rsidRPr="00AD151D">
        <w:trPr>
          <w:trHeight w:val="70"/>
        </w:trPr>
        <w:tc>
          <w:tcPr>
            <w:tcW w:w="960" w:type="dxa"/>
            <w:tcBorders>
              <w:top w:val="nil"/>
              <w:left w:val="single" w:sz="8" w:space="0" w:color="auto"/>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DASR</w:t>
            </w:r>
          </w:p>
        </w:tc>
        <w:tc>
          <w:tcPr>
            <w:tcW w:w="2208" w:type="dxa"/>
            <w:tcBorders>
              <w:top w:val="nil"/>
              <w:left w:val="nil"/>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Direct Access Service Request</w:t>
            </w:r>
          </w:p>
        </w:tc>
        <w:tc>
          <w:tcPr>
            <w:tcW w:w="960" w:type="dxa"/>
            <w:tcBorders>
              <w:top w:val="nil"/>
              <w:left w:val="nil"/>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NDC</w:t>
            </w:r>
          </w:p>
        </w:tc>
        <w:tc>
          <w:tcPr>
            <w:tcW w:w="2640" w:type="dxa"/>
            <w:tcBorders>
              <w:top w:val="nil"/>
              <w:left w:val="nil"/>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Net Dependable Capacity</w:t>
            </w:r>
          </w:p>
        </w:tc>
      </w:tr>
      <w:tr w:rsidR="00AE7D50" w:rsidRPr="00AD151D">
        <w:trPr>
          <w:trHeight w:val="79"/>
        </w:trPr>
        <w:tc>
          <w:tcPr>
            <w:tcW w:w="960" w:type="dxa"/>
            <w:tcBorders>
              <w:top w:val="nil"/>
              <w:left w:val="single" w:sz="8" w:space="0" w:color="auto"/>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DG</w:t>
            </w:r>
          </w:p>
        </w:tc>
        <w:tc>
          <w:tcPr>
            <w:tcW w:w="2208" w:type="dxa"/>
            <w:tcBorders>
              <w:top w:val="nil"/>
              <w:left w:val="nil"/>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Distributed Generation</w:t>
            </w:r>
          </w:p>
        </w:tc>
        <w:tc>
          <w:tcPr>
            <w:tcW w:w="960" w:type="dxa"/>
            <w:tcBorders>
              <w:top w:val="nil"/>
              <w:left w:val="nil"/>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NERC</w:t>
            </w:r>
          </w:p>
        </w:tc>
        <w:tc>
          <w:tcPr>
            <w:tcW w:w="2640" w:type="dxa"/>
            <w:tcBorders>
              <w:top w:val="nil"/>
              <w:left w:val="nil"/>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 xml:space="preserve">North American Reliability Corporation </w:t>
            </w:r>
          </w:p>
        </w:tc>
      </w:tr>
      <w:tr w:rsidR="00AE7D50" w:rsidRPr="00AD151D">
        <w:trPr>
          <w:trHeight w:val="88"/>
        </w:trPr>
        <w:tc>
          <w:tcPr>
            <w:tcW w:w="960" w:type="dxa"/>
            <w:tcBorders>
              <w:top w:val="nil"/>
              <w:left w:val="single" w:sz="8" w:space="0" w:color="auto"/>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DR</w:t>
            </w:r>
          </w:p>
        </w:tc>
        <w:tc>
          <w:tcPr>
            <w:tcW w:w="2208" w:type="dxa"/>
            <w:tcBorders>
              <w:top w:val="nil"/>
              <w:left w:val="nil"/>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Demand Response</w:t>
            </w:r>
          </w:p>
        </w:tc>
        <w:tc>
          <w:tcPr>
            <w:tcW w:w="960" w:type="dxa"/>
            <w:tcBorders>
              <w:top w:val="nil"/>
              <w:left w:val="nil"/>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NQC</w:t>
            </w:r>
          </w:p>
        </w:tc>
        <w:tc>
          <w:tcPr>
            <w:tcW w:w="2640" w:type="dxa"/>
            <w:tcBorders>
              <w:top w:val="nil"/>
              <w:left w:val="nil"/>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 xml:space="preserve">Net Qualifying Capacity </w:t>
            </w:r>
          </w:p>
        </w:tc>
      </w:tr>
      <w:tr w:rsidR="00AE7D50" w:rsidRPr="00AD151D">
        <w:trPr>
          <w:trHeight w:val="178"/>
        </w:trPr>
        <w:tc>
          <w:tcPr>
            <w:tcW w:w="960" w:type="dxa"/>
            <w:tcBorders>
              <w:top w:val="nil"/>
              <w:left w:val="single" w:sz="8" w:space="0" w:color="auto"/>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DSM</w:t>
            </w:r>
          </w:p>
        </w:tc>
        <w:tc>
          <w:tcPr>
            <w:tcW w:w="2208" w:type="dxa"/>
            <w:tcBorders>
              <w:top w:val="nil"/>
              <w:left w:val="nil"/>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Demand Side Management</w:t>
            </w:r>
          </w:p>
        </w:tc>
        <w:tc>
          <w:tcPr>
            <w:tcW w:w="960" w:type="dxa"/>
            <w:tcBorders>
              <w:top w:val="nil"/>
              <w:left w:val="nil"/>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PRM</w:t>
            </w:r>
          </w:p>
        </w:tc>
        <w:tc>
          <w:tcPr>
            <w:tcW w:w="2640" w:type="dxa"/>
            <w:tcBorders>
              <w:top w:val="nil"/>
              <w:left w:val="nil"/>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 xml:space="preserve">Planning Reserve Margin </w:t>
            </w:r>
          </w:p>
        </w:tc>
      </w:tr>
      <w:tr w:rsidR="00AE7D50" w:rsidRPr="00AD151D">
        <w:trPr>
          <w:trHeight w:val="385"/>
        </w:trPr>
        <w:tc>
          <w:tcPr>
            <w:tcW w:w="960" w:type="dxa"/>
            <w:tcBorders>
              <w:top w:val="nil"/>
              <w:left w:val="single" w:sz="8" w:space="0" w:color="auto"/>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EAF</w:t>
            </w:r>
          </w:p>
        </w:tc>
        <w:tc>
          <w:tcPr>
            <w:tcW w:w="2208" w:type="dxa"/>
            <w:tcBorders>
              <w:top w:val="nil"/>
              <w:left w:val="nil"/>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Equivalent Availability Factor</w:t>
            </w:r>
          </w:p>
        </w:tc>
        <w:tc>
          <w:tcPr>
            <w:tcW w:w="960" w:type="dxa"/>
            <w:tcBorders>
              <w:top w:val="nil"/>
              <w:left w:val="nil"/>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QC</w:t>
            </w:r>
          </w:p>
        </w:tc>
        <w:tc>
          <w:tcPr>
            <w:tcW w:w="2640" w:type="dxa"/>
            <w:tcBorders>
              <w:top w:val="nil"/>
              <w:left w:val="nil"/>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Qualifying Capacity</w:t>
            </w:r>
          </w:p>
        </w:tc>
      </w:tr>
      <w:tr w:rsidR="00AE7D50" w:rsidRPr="00AD151D">
        <w:trPr>
          <w:trHeight w:val="214"/>
        </w:trPr>
        <w:tc>
          <w:tcPr>
            <w:tcW w:w="960" w:type="dxa"/>
            <w:tcBorders>
              <w:top w:val="nil"/>
              <w:left w:val="single" w:sz="8" w:space="0" w:color="auto"/>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ED</w:t>
            </w:r>
          </w:p>
        </w:tc>
        <w:tc>
          <w:tcPr>
            <w:tcW w:w="2208" w:type="dxa"/>
            <w:tcBorders>
              <w:top w:val="nil"/>
              <w:left w:val="nil"/>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 xml:space="preserve">Energy Division </w:t>
            </w:r>
          </w:p>
        </w:tc>
        <w:tc>
          <w:tcPr>
            <w:tcW w:w="960" w:type="dxa"/>
            <w:tcBorders>
              <w:top w:val="nil"/>
              <w:left w:val="nil"/>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QF</w:t>
            </w:r>
          </w:p>
        </w:tc>
        <w:tc>
          <w:tcPr>
            <w:tcW w:w="2640" w:type="dxa"/>
            <w:tcBorders>
              <w:top w:val="nil"/>
              <w:left w:val="nil"/>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 xml:space="preserve">Qualifying Facility </w:t>
            </w:r>
          </w:p>
        </w:tc>
      </w:tr>
      <w:tr w:rsidR="00AE7D50" w:rsidRPr="00AD151D">
        <w:trPr>
          <w:trHeight w:val="304"/>
        </w:trPr>
        <w:tc>
          <w:tcPr>
            <w:tcW w:w="960" w:type="dxa"/>
            <w:tcBorders>
              <w:top w:val="nil"/>
              <w:left w:val="single" w:sz="8" w:space="0" w:color="auto"/>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EFORd</w:t>
            </w:r>
          </w:p>
        </w:tc>
        <w:tc>
          <w:tcPr>
            <w:tcW w:w="2208" w:type="dxa"/>
            <w:tcBorders>
              <w:top w:val="nil"/>
              <w:left w:val="nil"/>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 xml:space="preserve">Equivalent Forced Outage Rate of demand </w:t>
            </w:r>
          </w:p>
        </w:tc>
        <w:tc>
          <w:tcPr>
            <w:tcW w:w="960" w:type="dxa"/>
            <w:tcBorders>
              <w:top w:val="nil"/>
              <w:left w:val="nil"/>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RA</w:t>
            </w:r>
          </w:p>
        </w:tc>
        <w:tc>
          <w:tcPr>
            <w:tcW w:w="2640" w:type="dxa"/>
            <w:tcBorders>
              <w:top w:val="nil"/>
              <w:left w:val="nil"/>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 xml:space="preserve">Resource Adequacy </w:t>
            </w:r>
          </w:p>
        </w:tc>
      </w:tr>
      <w:tr w:rsidR="00AE7D50" w:rsidRPr="00AD151D">
        <w:trPr>
          <w:trHeight w:val="232"/>
        </w:trPr>
        <w:tc>
          <w:tcPr>
            <w:tcW w:w="960" w:type="dxa"/>
            <w:tcBorders>
              <w:top w:val="nil"/>
              <w:left w:val="single" w:sz="8" w:space="0" w:color="auto"/>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ELCC</w:t>
            </w:r>
          </w:p>
        </w:tc>
        <w:tc>
          <w:tcPr>
            <w:tcW w:w="2208" w:type="dxa"/>
            <w:tcBorders>
              <w:top w:val="nil"/>
              <w:left w:val="nil"/>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 xml:space="preserve">Effective Load Carrying Capacity </w:t>
            </w:r>
          </w:p>
        </w:tc>
        <w:tc>
          <w:tcPr>
            <w:tcW w:w="960" w:type="dxa"/>
            <w:tcBorders>
              <w:top w:val="nil"/>
              <w:left w:val="nil"/>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RAR</w:t>
            </w:r>
          </w:p>
        </w:tc>
        <w:tc>
          <w:tcPr>
            <w:tcW w:w="2640" w:type="dxa"/>
            <w:tcBorders>
              <w:top w:val="nil"/>
              <w:left w:val="nil"/>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Resource Adequacy Requirement</w:t>
            </w:r>
          </w:p>
        </w:tc>
      </w:tr>
      <w:tr w:rsidR="00AE7D50" w:rsidRPr="00AD151D">
        <w:trPr>
          <w:trHeight w:val="439"/>
        </w:trPr>
        <w:tc>
          <w:tcPr>
            <w:tcW w:w="960" w:type="dxa"/>
            <w:tcBorders>
              <w:top w:val="nil"/>
              <w:left w:val="single" w:sz="8" w:space="0" w:color="auto"/>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ERRA</w:t>
            </w:r>
          </w:p>
        </w:tc>
        <w:tc>
          <w:tcPr>
            <w:tcW w:w="2208" w:type="dxa"/>
            <w:tcBorders>
              <w:top w:val="nil"/>
              <w:left w:val="nil"/>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Energy Resource Recovery Account</w:t>
            </w:r>
          </w:p>
        </w:tc>
        <w:tc>
          <w:tcPr>
            <w:tcW w:w="960" w:type="dxa"/>
            <w:tcBorders>
              <w:top w:val="nil"/>
              <w:left w:val="nil"/>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RMR</w:t>
            </w:r>
          </w:p>
        </w:tc>
        <w:tc>
          <w:tcPr>
            <w:tcW w:w="2640" w:type="dxa"/>
            <w:tcBorders>
              <w:top w:val="nil"/>
              <w:left w:val="nil"/>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Reliability Must Run</w:t>
            </w:r>
          </w:p>
        </w:tc>
      </w:tr>
      <w:tr w:rsidR="00AE7D50" w:rsidRPr="00AD151D">
        <w:trPr>
          <w:trHeight w:val="448"/>
        </w:trPr>
        <w:tc>
          <w:tcPr>
            <w:tcW w:w="960" w:type="dxa"/>
            <w:tcBorders>
              <w:top w:val="nil"/>
              <w:left w:val="single" w:sz="8" w:space="0" w:color="auto"/>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ESP</w:t>
            </w:r>
          </w:p>
        </w:tc>
        <w:tc>
          <w:tcPr>
            <w:tcW w:w="2208" w:type="dxa"/>
            <w:tcBorders>
              <w:top w:val="nil"/>
              <w:left w:val="nil"/>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Electricity Service Provider</w:t>
            </w:r>
          </w:p>
        </w:tc>
        <w:tc>
          <w:tcPr>
            <w:tcW w:w="960" w:type="dxa"/>
            <w:tcBorders>
              <w:top w:val="nil"/>
              <w:left w:val="nil"/>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RPS</w:t>
            </w:r>
          </w:p>
        </w:tc>
        <w:tc>
          <w:tcPr>
            <w:tcW w:w="2640" w:type="dxa"/>
            <w:tcBorders>
              <w:top w:val="nil"/>
              <w:left w:val="nil"/>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Renewable Portfolio Standard</w:t>
            </w:r>
          </w:p>
        </w:tc>
      </w:tr>
      <w:tr w:rsidR="00AE7D50" w:rsidRPr="00AD151D">
        <w:trPr>
          <w:trHeight w:val="457"/>
        </w:trPr>
        <w:tc>
          <w:tcPr>
            <w:tcW w:w="960" w:type="dxa"/>
            <w:tcBorders>
              <w:top w:val="nil"/>
              <w:left w:val="single" w:sz="8" w:space="0" w:color="auto"/>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ETC</w:t>
            </w:r>
          </w:p>
        </w:tc>
        <w:tc>
          <w:tcPr>
            <w:tcW w:w="2208" w:type="dxa"/>
            <w:tcBorders>
              <w:top w:val="nil"/>
              <w:left w:val="nil"/>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Existing Transmission Contract</w:t>
            </w:r>
          </w:p>
        </w:tc>
        <w:tc>
          <w:tcPr>
            <w:tcW w:w="960" w:type="dxa"/>
            <w:tcBorders>
              <w:top w:val="nil"/>
              <w:left w:val="nil"/>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SCP</w:t>
            </w:r>
          </w:p>
        </w:tc>
        <w:tc>
          <w:tcPr>
            <w:tcW w:w="2640" w:type="dxa"/>
            <w:tcBorders>
              <w:top w:val="nil"/>
              <w:left w:val="nil"/>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Standard Capacity Product</w:t>
            </w:r>
          </w:p>
        </w:tc>
      </w:tr>
      <w:tr w:rsidR="00AE7D50" w:rsidRPr="00AD151D">
        <w:trPr>
          <w:trHeight w:val="583"/>
        </w:trPr>
        <w:tc>
          <w:tcPr>
            <w:tcW w:w="960" w:type="dxa"/>
            <w:tcBorders>
              <w:top w:val="nil"/>
              <w:left w:val="single" w:sz="8" w:space="0" w:color="auto"/>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FERC</w:t>
            </w:r>
          </w:p>
        </w:tc>
        <w:tc>
          <w:tcPr>
            <w:tcW w:w="2208" w:type="dxa"/>
            <w:tcBorders>
              <w:top w:val="nil"/>
              <w:left w:val="nil"/>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Federal Energy Regulatory Commission</w:t>
            </w:r>
          </w:p>
        </w:tc>
        <w:tc>
          <w:tcPr>
            <w:tcW w:w="960" w:type="dxa"/>
            <w:tcBorders>
              <w:top w:val="nil"/>
              <w:left w:val="nil"/>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SFTP</w:t>
            </w:r>
          </w:p>
        </w:tc>
        <w:tc>
          <w:tcPr>
            <w:tcW w:w="2640" w:type="dxa"/>
            <w:tcBorders>
              <w:top w:val="nil"/>
              <w:left w:val="nil"/>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Secure File Transfer Protocol</w:t>
            </w:r>
          </w:p>
        </w:tc>
      </w:tr>
      <w:tr w:rsidR="00AE7D50" w:rsidRPr="00AD151D">
        <w:trPr>
          <w:trHeight w:val="349"/>
        </w:trPr>
        <w:tc>
          <w:tcPr>
            <w:tcW w:w="960" w:type="dxa"/>
            <w:tcBorders>
              <w:top w:val="nil"/>
              <w:left w:val="single" w:sz="8" w:space="0" w:color="auto"/>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FOH</w:t>
            </w:r>
          </w:p>
        </w:tc>
        <w:tc>
          <w:tcPr>
            <w:tcW w:w="2208" w:type="dxa"/>
            <w:tcBorders>
              <w:top w:val="nil"/>
              <w:left w:val="nil"/>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 xml:space="preserve">Forced Outage Hours </w:t>
            </w:r>
          </w:p>
        </w:tc>
        <w:tc>
          <w:tcPr>
            <w:tcW w:w="960" w:type="dxa"/>
            <w:tcBorders>
              <w:top w:val="nil"/>
              <w:left w:val="nil"/>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TAC</w:t>
            </w:r>
          </w:p>
        </w:tc>
        <w:tc>
          <w:tcPr>
            <w:tcW w:w="2640" w:type="dxa"/>
            <w:tcBorders>
              <w:top w:val="nil"/>
              <w:left w:val="nil"/>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 xml:space="preserve">Transmission Access Charge </w:t>
            </w:r>
          </w:p>
        </w:tc>
      </w:tr>
      <w:tr w:rsidR="00AE7D50" w:rsidRPr="00AD151D">
        <w:trPr>
          <w:trHeight w:val="54"/>
        </w:trPr>
        <w:tc>
          <w:tcPr>
            <w:tcW w:w="960" w:type="dxa"/>
            <w:tcBorders>
              <w:top w:val="nil"/>
              <w:left w:val="single" w:sz="8" w:space="0" w:color="auto"/>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HE</w:t>
            </w:r>
          </w:p>
        </w:tc>
        <w:tc>
          <w:tcPr>
            <w:tcW w:w="2208" w:type="dxa"/>
            <w:tcBorders>
              <w:top w:val="nil"/>
              <w:left w:val="nil"/>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Hour Ending</w:t>
            </w:r>
          </w:p>
        </w:tc>
        <w:tc>
          <w:tcPr>
            <w:tcW w:w="960" w:type="dxa"/>
            <w:tcBorders>
              <w:top w:val="nil"/>
              <w:left w:val="nil"/>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TCPM</w:t>
            </w:r>
          </w:p>
        </w:tc>
        <w:tc>
          <w:tcPr>
            <w:tcW w:w="2640" w:type="dxa"/>
            <w:tcBorders>
              <w:top w:val="nil"/>
              <w:left w:val="nil"/>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Transitional Capacity Procurement Mechanism</w:t>
            </w:r>
          </w:p>
        </w:tc>
      </w:tr>
      <w:tr w:rsidR="00AE7D50" w:rsidRPr="00AD151D">
        <w:trPr>
          <w:trHeight w:val="547"/>
        </w:trPr>
        <w:tc>
          <w:tcPr>
            <w:tcW w:w="960" w:type="dxa"/>
            <w:tcBorders>
              <w:top w:val="nil"/>
              <w:left w:val="single" w:sz="8" w:space="0" w:color="auto"/>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ICPM</w:t>
            </w:r>
          </w:p>
        </w:tc>
        <w:tc>
          <w:tcPr>
            <w:tcW w:w="2208" w:type="dxa"/>
            <w:tcBorders>
              <w:top w:val="nil"/>
              <w:left w:val="nil"/>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Interim Capacity Procurement Mechanism</w:t>
            </w:r>
          </w:p>
        </w:tc>
        <w:tc>
          <w:tcPr>
            <w:tcW w:w="960" w:type="dxa"/>
            <w:tcBorders>
              <w:top w:val="nil"/>
              <w:left w:val="nil"/>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TIC</w:t>
            </w:r>
          </w:p>
        </w:tc>
        <w:tc>
          <w:tcPr>
            <w:tcW w:w="2640" w:type="dxa"/>
            <w:tcBorders>
              <w:top w:val="nil"/>
              <w:left w:val="nil"/>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Total Installed Capacity</w:t>
            </w:r>
          </w:p>
        </w:tc>
      </w:tr>
      <w:tr w:rsidR="00AE7D50" w:rsidRPr="00AD151D">
        <w:trPr>
          <w:trHeight w:val="313"/>
        </w:trPr>
        <w:tc>
          <w:tcPr>
            <w:tcW w:w="960" w:type="dxa"/>
            <w:tcBorders>
              <w:top w:val="nil"/>
              <w:left w:val="single" w:sz="8" w:space="0" w:color="auto"/>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IOU</w:t>
            </w:r>
          </w:p>
        </w:tc>
        <w:tc>
          <w:tcPr>
            <w:tcW w:w="2208" w:type="dxa"/>
            <w:tcBorders>
              <w:top w:val="nil"/>
              <w:left w:val="nil"/>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Investor Owned Utility</w:t>
            </w:r>
          </w:p>
        </w:tc>
        <w:tc>
          <w:tcPr>
            <w:tcW w:w="960" w:type="dxa"/>
            <w:tcBorders>
              <w:top w:val="nil"/>
              <w:left w:val="nil"/>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ULR</w:t>
            </w:r>
          </w:p>
        </w:tc>
        <w:tc>
          <w:tcPr>
            <w:tcW w:w="2640" w:type="dxa"/>
            <w:tcBorders>
              <w:top w:val="nil"/>
              <w:left w:val="nil"/>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 xml:space="preserve">Use Limited Resources </w:t>
            </w:r>
          </w:p>
        </w:tc>
      </w:tr>
      <w:tr w:rsidR="00AE7D50" w:rsidRPr="00AD151D">
        <w:trPr>
          <w:trHeight w:val="322"/>
        </w:trPr>
        <w:tc>
          <w:tcPr>
            <w:tcW w:w="960" w:type="dxa"/>
            <w:tcBorders>
              <w:top w:val="nil"/>
              <w:left w:val="single" w:sz="8" w:space="0" w:color="auto"/>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LD</w:t>
            </w:r>
          </w:p>
        </w:tc>
        <w:tc>
          <w:tcPr>
            <w:tcW w:w="2208" w:type="dxa"/>
            <w:tcBorders>
              <w:top w:val="nil"/>
              <w:left w:val="nil"/>
              <w:bottom w:val="single" w:sz="8" w:space="0" w:color="auto"/>
              <w:right w:val="single" w:sz="8" w:space="0" w:color="auto"/>
            </w:tcBorders>
            <w:vAlign w:val="bottom"/>
          </w:tcPr>
          <w:p w:rsidR="00AE7D50" w:rsidRPr="00AD151D" w:rsidRDefault="00AE7D50">
            <w:pPr>
              <w:keepNext/>
              <w:keepLines/>
              <w:rPr>
                <w:color w:val="000000"/>
              </w:rPr>
            </w:pPr>
            <w:r w:rsidRPr="00AD151D">
              <w:rPr>
                <w:color w:val="000000"/>
                <w:sz w:val="22"/>
                <w:szCs w:val="22"/>
              </w:rPr>
              <w:t>Liquidated Damages</w:t>
            </w:r>
          </w:p>
        </w:tc>
        <w:tc>
          <w:tcPr>
            <w:tcW w:w="960" w:type="dxa"/>
            <w:tcBorders>
              <w:top w:val="nil"/>
              <w:left w:val="nil"/>
              <w:bottom w:val="nil"/>
              <w:right w:val="nil"/>
            </w:tcBorders>
            <w:noWrap/>
            <w:vAlign w:val="bottom"/>
          </w:tcPr>
          <w:p w:rsidR="00AE7D50" w:rsidRPr="00AD151D" w:rsidRDefault="00AE7D50">
            <w:pPr>
              <w:keepNext/>
              <w:keepLines/>
              <w:rPr>
                <w:rFonts w:ascii="Calibri" w:hAnsi="Calibri"/>
                <w:color w:val="000000"/>
              </w:rPr>
            </w:pPr>
          </w:p>
        </w:tc>
        <w:tc>
          <w:tcPr>
            <w:tcW w:w="2640" w:type="dxa"/>
            <w:tcBorders>
              <w:top w:val="nil"/>
              <w:left w:val="nil"/>
              <w:bottom w:val="nil"/>
              <w:right w:val="nil"/>
            </w:tcBorders>
            <w:noWrap/>
            <w:vAlign w:val="bottom"/>
          </w:tcPr>
          <w:p w:rsidR="00AE7D50" w:rsidRPr="00AD151D" w:rsidRDefault="00AE7D50">
            <w:pPr>
              <w:keepNext/>
              <w:keepLines/>
              <w:rPr>
                <w:rFonts w:ascii="Calibri" w:hAnsi="Calibri"/>
                <w:color w:val="000000"/>
              </w:rPr>
            </w:pPr>
          </w:p>
        </w:tc>
      </w:tr>
    </w:tbl>
    <w:p w:rsidR="00AE7D50" w:rsidRPr="00AD151D" w:rsidRDefault="00AE7D50">
      <w:pPr>
        <w:widowControl w:val="0"/>
        <w:rPr>
          <w:b/>
        </w:rPr>
      </w:pPr>
    </w:p>
    <w:p w:rsidR="00AE7D50" w:rsidRPr="00AD151D" w:rsidRDefault="00AE7D50">
      <w:pPr>
        <w:pStyle w:val="Heading1"/>
        <w:numPr>
          <w:ilvl w:val="0"/>
          <w:numId w:val="23"/>
        </w:numPr>
      </w:pPr>
      <w:bookmarkStart w:id="10" w:name="_Toc347827041"/>
      <w:r w:rsidRPr="00AD151D">
        <w:lastRenderedPageBreak/>
        <w:t>Executive Summary</w:t>
      </w:r>
      <w:bookmarkEnd w:id="7"/>
      <w:bookmarkEnd w:id="8"/>
      <w:bookmarkEnd w:id="9"/>
      <w:bookmarkEnd w:id="10"/>
      <w:r w:rsidRPr="00AD151D">
        <w:tab/>
      </w:r>
    </w:p>
    <w:p w:rsidR="00AE7D50" w:rsidRPr="00AD151D" w:rsidRDefault="00AE7D50">
      <w:pPr>
        <w:spacing w:before="120"/>
        <w:ind w:firstLine="720"/>
      </w:pPr>
      <w:r w:rsidRPr="00AD151D">
        <w:t xml:space="preserve">The intent of the Resource Adequacy (RA) program is to ensure that sufficient capacity is available to meet the peak load and </w:t>
      </w:r>
      <w:r w:rsidR="00F9107F">
        <w:t xml:space="preserve">establish </w:t>
      </w:r>
      <w:r w:rsidRPr="00AD151D">
        <w:t xml:space="preserve">reserve requirements </w:t>
      </w:r>
      <w:r w:rsidR="006C5D7A">
        <w:t>for</w:t>
      </w:r>
      <w:r w:rsidR="006C5D7A" w:rsidRPr="00AD151D">
        <w:t xml:space="preserve"> </w:t>
      </w:r>
      <w:r w:rsidRPr="00AD151D">
        <w:t>California Public Utilities Commission (CPUC) jurisdictional Load Serving Entities (LSEs).</w:t>
      </w:r>
      <w:r w:rsidRPr="00AD151D">
        <w:rPr>
          <w:rStyle w:val="FootnoteReference"/>
        </w:rPr>
        <w:footnoteReference w:id="1"/>
      </w:r>
      <w:r w:rsidRPr="00AD151D">
        <w:t xml:space="preserve">  This Report provides a review of the CPUC’s RA program, summarizing RA program experience during the 2011 RA compliance year.  While this report does not make explicit policy recommendations, it is intended to provide factual information relevant to the currently open RA rulemaking (R.11-10-023) and ongoing implementation of the RA program in California.  </w:t>
      </w:r>
    </w:p>
    <w:p w:rsidR="00AE7D50" w:rsidRPr="00AD151D" w:rsidRDefault="00AE7D50">
      <w:pPr>
        <w:spacing w:before="120"/>
        <w:ind w:firstLine="720"/>
      </w:pPr>
      <w:r w:rsidRPr="00AD151D">
        <w:t>Each year, the RA program requires LSEs to submit a Year-Ahead filing due in October and twelve Month-Ahead filings during the compliance year.  In 2011, the RA program worked as intended</w:t>
      </w:r>
      <w:r w:rsidR="00A54B87">
        <w:t xml:space="preserve"> and</w:t>
      </w:r>
      <w:r w:rsidR="00F9107F">
        <w:t xml:space="preserve"> s</w:t>
      </w:r>
      <w:r w:rsidR="00F46FD4">
        <w:t>ufficient resources were available to meet peak load and contingencies.</w:t>
      </w:r>
    </w:p>
    <w:p w:rsidR="00AE7D50" w:rsidRPr="00AD151D" w:rsidRDefault="00AE7D50">
      <w:pPr>
        <w:spacing w:before="120"/>
        <w:ind w:firstLine="720"/>
      </w:pPr>
      <w:r w:rsidRPr="00AD151D">
        <w:t>Peak</w:t>
      </w:r>
      <w:r w:rsidR="00732319" w:rsidRPr="00AD151D">
        <w:t xml:space="preserve"> </w:t>
      </w:r>
      <w:r w:rsidRPr="00AD151D">
        <w:t xml:space="preserve">Demand was forecasted to occur in August 2011 </w:t>
      </w:r>
      <w:r w:rsidRPr="00F4122E">
        <w:t>at 48</w:t>
      </w:r>
      <w:r w:rsidR="00F4122E">
        <w:t>,</w:t>
      </w:r>
      <w:r w:rsidR="007B209F" w:rsidRPr="00F4122E">
        <w:t xml:space="preserve">726 </w:t>
      </w:r>
      <w:r w:rsidRPr="00F4122E">
        <w:t>MW</w:t>
      </w:r>
      <w:r w:rsidR="00F4122E" w:rsidRPr="00277DC8">
        <w:rPr>
          <w:rStyle w:val="FootnoteReference"/>
        </w:rPr>
        <w:footnoteReference w:id="2"/>
      </w:r>
      <w:r w:rsidR="00691252" w:rsidRPr="00F4122E">
        <w:t>.</w:t>
      </w:r>
      <w:r w:rsidR="00EE6A9F" w:rsidRPr="00F4122E" w:rsidDel="00EE6A9F">
        <w:t xml:space="preserve"> </w:t>
      </w:r>
      <w:r w:rsidR="00F9107F" w:rsidRPr="00F4122E">
        <w:t xml:space="preserve"> The</w:t>
      </w:r>
      <w:r w:rsidR="00F9107F">
        <w:t xml:space="preserve"> RA capacity procurement to meet peak demand in August totaled 56,714 MWs</w:t>
      </w:r>
      <w:r w:rsidR="00F9107F" w:rsidRPr="00AD151D">
        <w:rPr>
          <w:rStyle w:val="FootnoteReference"/>
        </w:rPr>
        <w:t xml:space="preserve"> </w:t>
      </w:r>
      <w:r w:rsidR="005D1B72" w:rsidRPr="00AD151D">
        <w:rPr>
          <w:rStyle w:val="FootnoteReference"/>
        </w:rPr>
        <w:footnoteReference w:id="3"/>
      </w:r>
      <w:r w:rsidR="00EE6A9F">
        <w:t>.</w:t>
      </w:r>
      <w:r w:rsidR="00F9107F">
        <w:t xml:space="preserve"> </w:t>
      </w:r>
      <w:r w:rsidR="007B209F">
        <w:t xml:space="preserve"> </w:t>
      </w:r>
      <w:r w:rsidR="00F9107F">
        <w:t xml:space="preserve">Of this </w:t>
      </w:r>
      <w:r w:rsidRPr="00AD151D">
        <w:t>CPUC jurisdictional LSEs procured 48,461 MW</w:t>
      </w:r>
      <w:r w:rsidR="005D1B72">
        <w:t xml:space="preserve"> of RA capacity</w:t>
      </w:r>
      <w:r w:rsidR="005D1B72" w:rsidRPr="00AD151D">
        <w:rPr>
          <w:rStyle w:val="FootnoteReference"/>
        </w:rPr>
        <w:footnoteReference w:id="4"/>
      </w:r>
      <w:r w:rsidR="00B07A8B">
        <w:t>.</w:t>
      </w:r>
      <w:r w:rsidRPr="00AD151D">
        <w:t xml:space="preserve">  </w:t>
      </w:r>
    </w:p>
    <w:p w:rsidR="00A54B87" w:rsidRDefault="007B209F" w:rsidP="00F00219">
      <w:pPr>
        <w:spacing w:before="120"/>
        <w:ind w:firstLine="720"/>
      </w:pPr>
      <w:r w:rsidRPr="00AD151D">
        <w:t>Actual peak load for 2011 occurred in September at 45,569 MW</w:t>
      </w:r>
      <w:r>
        <w:t xml:space="preserve">, and </w:t>
      </w:r>
      <w:r w:rsidR="00A54B87">
        <w:t xml:space="preserve">corresponding </w:t>
      </w:r>
      <w:r w:rsidRPr="00AD151D">
        <w:t>capacity resources procured by all LSEs (CPUC jurisdictional and non-CPUC jurisdictional) totaled 53,079</w:t>
      </w:r>
      <w:r w:rsidR="00F00219">
        <w:rPr>
          <w:rStyle w:val="FootnoteReference"/>
        </w:rPr>
        <w:footnoteReference w:id="5"/>
      </w:r>
      <w:r w:rsidRPr="00AD151D">
        <w:t xml:space="preserve"> MW.  </w:t>
      </w:r>
      <w:r>
        <w:t xml:space="preserve">During </w:t>
      </w:r>
      <w:r w:rsidR="00F00219">
        <w:t xml:space="preserve">September </w:t>
      </w:r>
      <w:r w:rsidR="00AE7D50" w:rsidRPr="00AD151D">
        <w:t>CPUC jurisdictional LSEs were collectively required to procure 43,768</w:t>
      </w:r>
      <w:r w:rsidR="00732319" w:rsidRPr="00AD151D">
        <w:rPr>
          <w:rStyle w:val="FootnoteReference"/>
        </w:rPr>
        <w:footnoteReference w:id="6"/>
      </w:r>
      <w:r w:rsidR="00AE7D50" w:rsidRPr="00AD151D">
        <w:t xml:space="preserve"> MW of resources to meet expected system needs </w:t>
      </w:r>
      <w:r w:rsidR="00663C4D" w:rsidRPr="00AD151D">
        <w:t xml:space="preserve">(which included </w:t>
      </w:r>
      <w:r w:rsidR="00AE7D50" w:rsidRPr="00AD151D">
        <w:t>a 15 percent reserve margin</w:t>
      </w:r>
      <w:r w:rsidR="00663C4D" w:rsidRPr="00AD151D">
        <w:t>)</w:t>
      </w:r>
      <w:r w:rsidR="00AE7D50" w:rsidRPr="00AD151D">
        <w:t xml:space="preserve">.  These LSEs procured </w:t>
      </w:r>
      <w:r w:rsidR="00F00219">
        <w:t xml:space="preserve">1,119 MWs in </w:t>
      </w:r>
      <w:r w:rsidR="00AE7D50" w:rsidRPr="00AD151D">
        <w:t>excess of the total System Resource Adequacy Requirement (RAR), or 44,786</w:t>
      </w:r>
      <w:r w:rsidR="00732319" w:rsidRPr="00AD151D">
        <w:rPr>
          <w:rStyle w:val="FootnoteReference"/>
        </w:rPr>
        <w:footnoteReference w:id="7"/>
      </w:r>
      <w:r w:rsidR="00AE7D50" w:rsidRPr="00AD151D">
        <w:t xml:space="preserve"> MW.  </w:t>
      </w:r>
    </w:p>
    <w:p w:rsidR="00AE7D50" w:rsidRPr="00AD151D" w:rsidRDefault="00663C4D" w:rsidP="00F00219">
      <w:pPr>
        <w:spacing w:before="120"/>
        <w:ind w:firstLine="720"/>
      </w:pPr>
      <w:r w:rsidRPr="00AD151D">
        <w:t xml:space="preserve">LSEs fulfilled their </w:t>
      </w:r>
      <w:r w:rsidR="00AE7D50" w:rsidRPr="00AD151D">
        <w:t xml:space="preserve">Local RA obligations during 2011 compliance year.  </w:t>
      </w:r>
      <w:r w:rsidR="00EE6A9F">
        <w:t>Local RA procurement obligations d</w:t>
      </w:r>
      <w:r w:rsidR="00AE7D50" w:rsidRPr="00AD151D">
        <w:t xml:space="preserve">uring 2011 </w:t>
      </w:r>
      <w:r w:rsidR="00EE6A9F">
        <w:t>of</w:t>
      </w:r>
      <w:r w:rsidR="00EE6A9F" w:rsidRPr="00AD151D">
        <w:t xml:space="preserve"> 21,502 MW</w:t>
      </w:r>
      <w:r w:rsidR="00EE6A9F" w:rsidRPr="00AD151D">
        <w:rPr>
          <w:rStyle w:val="FootnoteReference"/>
        </w:rPr>
        <w:footnoteReference w:id="8"/>
      </w:r>
      <w:r w:rsidR="00EE6A9F">
        <w:t xml:space="preserve"> for </w:t>
      </w:r>
      <w:r w:rsidR="00AE7D50" w:rsidRPr="00AD151D">
        <w:t xml:space="preserve">CPUC jurisdictional LSEs </w:t>
      </w:r>
      <w:r w:rsidR="00EE6A9F">
        <w:t xml:space="preserve">were met with </w:t>
      </w:r>
      <w:r w:rsidR="00AE7D50" w:rsidRPr="00AD151D">
        <w:t>24,626 MW of RA capacity from physical resources.</w:t>
      </w:r>
      <w:r w:rsidR="00AE7D50" w:rsidRPr="00AD151D">
        <w:rPr>
          <w:rStyle w:val="FootnoteReference"/>
        </w:rPr>
        <w:footnoteReference w:id="9"/>
      </w:r>
      <w:r w:rsidR="00AE7D50" w:rsidRPr="00AD151D">
        <w:t xml:space="preserve">  </w:t>
      </w:r>
      <w:r w:rsidR="006C0354">
        <w:t xml:space="preserve">Because </w:t>
      </w:r>
      <w:r w:rsidR="008B117F">
        <w:t>sufficient</w:t>
      </w:r>
      <w:r w:rsidR="00EE6A9F">
        <w:t xml:space="preserve"> RA capacity procurement met all</w:t>
      </w:r>
      <w:r w:rsidR="008B117F">
        <w:t xml:space="preserve"> local RA obligations </w:t>
      </w:r>
      <w:r w:rsidR="0033102F">
        <w:t>the CAISO too</w:t>
      </w:r>
      <w:r w:rsidR="00A60437">
        <w:t>k</w:t>
      </w:r>
      <w:r w:rsidR="0033102F">
        <w:t xml:space="preserve"> </w:t>
      </w:r>
      <w:r w:rsidR="008B117F">
        <w:t>no backstop</w:t>
      </w:r>
      <w:r w:rsidR="006C0354">
        <w:t xml:space="preserve"> procurement </w:t>
      </w:r>
      <w:r w:rsidR="0033102F">
        <w:t>actions</w:t>
      </w:r>
      <w:r w:rsidR="00BD5E4A">
        <w:t xml:space="preserve"> caused by RA deficiencies</w:t>
      </w:r>
      <w:r w:rsidR="008B117F">
        <w:t xml:space="preserve">.  </w:t>
      </w:r>
    </w:p>
    <w:p w:rsidR="00A60437" w:rsidRDefault="00A60437">
      <w:pPr>
        <w:spacing w:before="120"/>
        <w:ind w:firstLine="720"/>
      </w:pPr>
      <w:r>
        <w:t>A key to establishing good RA procurement targets starts with good forecasts of demand.  We gauge the reasonableness of LSE for</w:t>
      </w:r>
      <w:r w:rsidR="000063EF">
        <w:t>e</w:t>
      </w:r>
      <w:r>
        <w:t xml:space="preserve">casts by the level of California </w:t>
      </w:r>
      <w:r>
        <w:lastRenderedPageBreak/>
        <w:t xml:space="preserve">Energy Commission </w:t>
      </w:r>
      <w:r w:rsidRPr="00AD151D">
        <w:t>plausibility adjustments</w:t>
      </w:r>
      <w:r>
        <w:rPr>
          <w:rStyle w:val="FootnoteReference"/>
        </w:rPr>
        <w:footnoteReference w:id="10"/>
      </w:r>
      <w:r>
        <w:t>.  In</w:t>
      </w:r>
      <w:r w:rsidRPr="00AD151D">
        <w:t xml:space="preserve"> </w:t>
      </w:r>
      <w:r w:rsidR="00AE7D50" w:rsidRPr="00AD151D">
        <w:t>2011 compliance year</w:t>
      </w:r>
      <w:r w:rsidR="000063EF">
        <w:t xml:space="preserve"> the California Energy Commission (CEC)</w:t>
      </w:r>
      <w:r w:rsidR="00F4122E">
        <w:t xml:space="preserve"> made larger </w:t>
      </w:r>
      <w:r>
        <w:t>plausibility adjustments</w:t>
      </w:r>
      <w:r w:rsidR="00F4122E">
        <w:t xml:space="preserve"> </w:t>
      </w:r>
      <w:r w:rsidR="000063EF">
        <w:t xml:space="preserve">to </w:t>
      </w:r>
      <w:r w:rsidR="00F4122E">
        <w:t xml:space="preserve">certain </w:t>
      </w:r>
      <w:r w:rsidR="000063EF">
        <w:t>LSE forecasts</w:t>
      </w:r>
      <w:r w:rsidR="00AE7D50" w:rsidRPr="00AD151D">
        <w:t xml:space="preserve"> </w:t>
      </w:r>
      <w:r w:rsidR="000063EF">
        <w:t xml:space="preserve">indicating </w:t>
      </w:r>
      <w:r w:rsidR="00F4122E">
        <w:t>uncertainty over customer migration due to reopening of Direct Access.</w:t>
      </w:r>
      <w:r w:rsidR="00AE7D50" w:rsidRPr="00AD151D">
        <w:t xml:space="preserve">  </w:t>
      </w:r>
    </w:p>
    <w:p w:rsidR="00AE7D50" w:rsidRPr="00AD151D" w:rsidRDefault="0033102F">
      <w:pPr>
        <w:spacing w:before="120"/>
        <w:ind w:firstLine="720"/>
      </w:pPr>
      <w:r>
        <w:t xml:space="preserve">The </w:t>
      </w:r>
      <w:r w:rsidR="00AE7D50" w:rsidRPr="00AD151D">
        <w:t xml:space="preserve">Commission decision </w:t>
      </w:r>
      <w:r w:rsidR="00D519D7">
        <w:t>(</w:t>
      </w:r>
      <w:r w:rsidR="00AE7D50" w:rsidRPr="00AD151D">
        <w:t>D.</w:t>
      </w:r>
      <w:r w:rsidR="00D519D7">
        <w:t>)</w:t>
      </w:r>
      <w:r w:rsidR="00AE7D50" w:rsidRPr="00AD151D">
        <w:t>10-03-022</w:t>
      </w:r>
      <w:r w:rsidR="00F4122E">
        <w:t xml:space="preserve"> </w:t>
      </w:r>
      <w:r>
        <w:t xml:space="preserve">allowed </w:t>
      </w:r>
      <w:r w:rsidR="00AE7D50" w:rsidRPr="00AD151D">
        <w:t>Direct Access (DA) customers to migrate freely between LSEs, result</w:t>
      </w:r>
      <w:r w:rsidR="00F4122E">
        <w:t>ing</w:t>
      </w:r>
      <w:r w:rsidR="00AE7D50" w:rsidRPr="00AD151D">
        <w:t xml:space="preserve"> in the registration of several new ESPs to serve </w:t>
      </w:r>
      <w:r w:rsidR="006C0354">
        <w:t>DA</w:t>
      </w:r>
      <w:r w:rsidR="00AE7D50" w:rsidRPr="00AD151D">
        <w:t xml:space="preserve"> load in 2011. </w:t>
      </w:r>
      <w:r w:rsidR="00966063">
        <w:t xml:space="preserve"> In 2010 t</w:t>
      </w:r>
      <w:r w:rsidR="00AE7D50" w:rsidRPr="00AD151D">
        <w:t xml:space="preserve">he RA program </w:t>
      </w:r>
      <w:r w:rsidR="00966063">
        <w:t xml:space="preserve">instituted </w:t>
      </w:r>
      <w:r w:rsidR="00AE7D50" w:rsidRPr="00AD151D">
        <w:t>a Local RA True up process</w:t>
      </w:r>
      <w:r w:rsidR="00966063">
        <w:t xml:space="preserve"> to</w:t>
      </w:r>
      <w:r w:rsidR="00AE7D50" w:rsidRPr="00AD151D">
        <w:t xml:space="preserve"> adjust</w:t>
      </w:r>
      <w:r w:rsidR="00966063">
        <w:t xml:space="preserve"> each LSE</w:t>
      </w:r>
      <w:r w:rsidR="00A54B87">
        <w:t>’</w:t>
      </w:r>
      <w:r w:rsidR="00966063">
        <w:t>s</w:t>
      </w:r>
      <w:r w:rsidR="00AE7D50" w:rsidRPr="00AD151D">
        <w:t xml:space="preserve"> Local RA obligations</w:t>
      </w:r>
      <w:r w:rsidR="00966063">
        <w:t xml:space="preserve"> due to </w:t>
      </w:r>
      <w:r>
        <w:t xml:space="preserve">inter LSE load </w:t>
      </w:r>
      <w:r w:rsidR="00966063">
        <w:t xml:space="preserve">shifting </w:t>
      </w:r>
      <w:r>
        <w:t xml:space="preserve">and </w:t>
      </w:r>
      <w:r w:rsidR="00966063">
        <w:t>changes in DA</w:t>
      </w:r>
      <w:r w:rsidR="00AE7D50" w:rsidRPr="00AD151D">
        <w:t xml:space="preserve"> participation. </w:t>
      </w:r>
    </w:p>
    <w:p w:rsidR="00AE7D50" w:rsidRPr="00AD151D" w:rsidRDefault="00A9385F" w:rsidP="00A9385F">
      <w:pPr>
        <w:spacing w:before="120"/>
        <w:ind w:firstLine="720"/>
      </w:pPr>
      <w:r>
        <w:t>In 2011 new g</w:t>
      </w:r>
      <w:r w:rsidR="00966063">
        <w:t>eneration</w:t>
      </w:r>
      <w:r>
        <w:t xml:space="preserve"> of 504 MWs came o</w:t>
      </w:r>
      <w:r w:rsidR="00966063">
        <w:t xml:space="preserve">n line </w:t>
      </w:r>
      <w:r>
        <w:t>comprised mostly of conventional and s</w:t>
      </w:r>
      <w:r w:rsidR="00A54B87">
        <w:t>everal</w:t>
      </w:r>
      <w:r>
        <w:t xml:space="preserve"> </w:t>
      </w:r>
      <w:r w:rsidR="00AE7D50" w:rsidRPr="00AD151D">
        <w:t>small renewable generati</w:t>
      </w:r>
      <w:r>
        <w:t>on</w:t>
      </w:r>
      <w:r w:rsidR="00A54B87">
        <w:t xml:space="preserve"> resources</w:t>
      </w:r>
      <w:r>
        <w:t>.</w:t>
      </w:r>
      <w:r w:rsidR="00AE7D50" w:rsidRPr="00AD151D">
        <w:t xml:space="preserve">  </w:t>
      </w:r>
      <w:r w:rsidR="00A54B87">
        <w:t>The n</w:t>
      </w:r>
      <w:r>
        <w:t>ew conventional resources included the Canyon Power Plant (198MWs)</w:t>
      </w:r>
      <w:r w:rsidR="008E75C4">
        <w:rPr>
          <w:rStyle w:val="FootnoteReference"/>
        </w:rPr>
        <w:footnoteReference w:id="11"/>
      </w:r>
      <w:r>
        <w:t>, and expansions to the Riverside Energy Resource Center (99MWs)</w:t>
      </w:r>
      <w:r w:rsidR="008E75C4">
        <w:rPr>
          <w:rStyle w:val="FootnoteReference"/>
        </w:rPr>
        <w:footnoteReference w:id="12"/>
      </w:r>
      <w:r>
        <w:t>.  Also, 833 MWs of generation retired in 2011, including the remaining three units at the South Bay Power plant (310 MWs)</w:t>
      </w:r>
      <w:r w:rsidR="008E75C4" w:rsidRPr="008E75C4">
        <w:rPr>
          <w:rStyle w:val="FootnoteReference"/>
        </w:rPr>
        <w:t xml:space="preserve"> </w:t>
      </w:r>
      <w:r w:rsidR="008E75C4">
        <w:rPr>
          <w:rStyle w:val="FootnoteReference"/>
        </w:rPr>
        <w:footnoteReference w:id="13"/>
      </w:r>
      <w:r>
        <w:t xml:space="preserve"> and the Potrero Power Plant (362 MWs)</w:t>
      </w:r>
      <w:r w:rsidR="008E75C4">
        <w:rPr>
          <w:rStyle w:val="FootnoteReference"/>
        </w:rPr>
        <w:footnoteReference w:id="14"/>
      </w:r>
      <w:r>
        <w:t>.</w:t>
      </w:r>
      <w:r w:rsidR="00AE7D50" w:rsidRPr="00AD151D">
        <w:t xml:space="preserve">  </w:t>
      </w:r>
      <w:r>
        <w:t>The additions and deletions resulted in an incremental decrease of 329 MWs of Net Qualifying Capacity (NQC).</w:t>
      </w:r>
    </w:p>
    <w:p w:rsidR="00AE7D50" w:rsidRPr="00AD151D" w:rsidRDefault="00AE7D50">
      <w:pPr>
        <w:spacing w:before="120"/>
        <w:ind w:firstLine="720"/>
      </w:pPr>
      <w:r w:rsidRPr="00AD151D">
        <w:t>Since the beginning of the Market Redesign and Technology Upgrade (MRTU), C</w:t>
      </w:r>
      <w:r w:rsidR="00C85210">
        <w:t>alifornia Independent System Operator (C</w:t>
      </w:r>
      <w:r w:rsidRPr="00AD151D">
        <w:t>AISO</w:t>
      </w:r>
      <w:r w:rsidR="00010A92">
        <w:t xml:space="preserve">) </w:t>
      </w:r>
      <w:r w:rsidRPr="00AD151D">
        <w:t>altered and automated their unit commitment process</w:t>
      </w:r>
      <w:r w:rsidR="006B7805">
        <w:t xml:space="preserve">. To augment the automated dispatch function, the CAISO </w:t>
      </w:r>
      <w:r w:rsidRPr="00AD151D">
        <w:t xml:space="preserve"> uses Exceptional Dispatch (ExD) for </w:t>
      </w:r>
      <w:r w:rsidR="00663C4D" w:rsidRPr="00AD151D">
        <w:t>most</w:t>
      </w:r>
      <w:r w:rsidRPr="00AD151D">
        <w:t xml:space="preserve"> out of market unit commitments</w:t>
      </w:r>
      <w:r w:rsidR="006B7805">
        <w:t xml:space="preserve"> required when the market run does not fully anticipate all the system reliability needs in the Day Ahead and Real Time markets</w:t>
      </w:r>
      <w:r w:rsidRPr="00AD151D">
        <w:t xml:space="preserve">.  </w:t>
      </w:r>
      <w:r w:rsidR="006B7805">
        <w:t xml:space="preserve">In general </w:t>
      </w:r>
      <w:r w:rsidRPr="00AD151D">
        <w:t xml:space="preserve">ExD </w:t>
      </w:r>
      <w:r w:rsidR="00960862" w:rsidRPr="00AD151D">
        <w:t>M</w:t>
      </w:r>
      <w:r w:rsidR="0033102F">
        <w:t xml:space="preserve">egawatt </w:t>
      </w:r>
      <w:r w:rsidR="00960862" w:rsidRPr="00AD151D">
        <w:t>volume declined slightly between 2010 and 201</w:t>
      </w:r>
      <w:r w:rsidR="0090175C">
        <w:t>1</w:t>
      </w:r>
      <w:r w:rsidR="0033102F">
        <w:t>, t</w:t>
      </w:r>
      <w:r w:rsidR="006B7805">
        <w:t>hough</w:t>
      </w:r>
      <w:r w:rsidR="00960862" w:rsidRPr="00AD151D">
        <w:t xml:space="preserve"> </w:t>
      </w:r>
      <w:r w:rsidR="00687103">
        <w:t xml:space="preserve">some Local Areas saw increases in 2011.  </w:t>
      </w:r>
      <w:r w:rsidRPr="00AD151D">
        <w:t xml:space="preserve">The downward trend in CAISO Reliability Must-Run (RMR) designations documented in earlier RA reports continued </w:t>
      </w:r>
      <w:r w:rsidR="0033102F">
        <w:t>through the</w:t>
      </w:r>
      <w:r w:rsidRPr="00AD151D">
        <w:t xml:space="preserve"> 201</w:t>
      </w:r>
      <w:r w:rsidR="003A04F3" w:rsidRPr="00AD151D">
        <w:t>1</w:t>
      </w:r>
      <w:r w:rsidRPr="00AD151D">
        <w:t xml:space="preserve"> compliance year.  </w:t>
      </w:r>
    </w:p>
    <w:p w:rsidR="0090175C" w:rsidRDefault="00B414BC">
      <w:pPr>
        <w:spacing w:before="120"/>
        <w:ind w:firstLine="720"/>
      </w:pPr>
      <w:r>
        <w:t xml:space="preserve">Because </w:t>
      </w:r>
      <w:r w:rsidRPr="00AD151D">
        <w:t xml:space="preserve">the RA program </w:t>
      </w:r>
      <w:r>
        <w:t>requires</w:t>
      </w:r>
      <w:r w:rsidRPr="00AD151D">
        <w:t xml:space="preserve"> LSE acquisition of capacity to meet load and reserve requirements</w:t>
      </w:r>
      <w:r>
        <w:t>, when</w:t>
      </w:r>
      <w:r w:rsidR="00A54B87">
        <w:t xml:space="preserve"> LSEs do not fully comply</w:t>
      </w:r>
      <w:r>
        <w:rPr>
          <w:rStyle w:val="FootnoteReference"/>
        </w:rPr>
        <w:footnoteReference w:id="15"/>
      </w:r>
      <w:r w:rsidRPr="00AD151D">
        <w:t xml:space="preserve"> </w:t>
      </w:r>
      <w:r>
        <w:t>with RA program rules the Commission issues citations or starts enforcement actions.</w:t>
      </w:r>
      <w:r w:rsidR="00AE7D50" w:rsidRPr="00AD151D">
        <w:t xml:space="preserve">  In total the Commission issued </w:t>
      </w:r>
      <w:r w:rsidR="007C14AD">
        <w:t>two</w:t>
      </w:r>
      <w:r w:rsidR="00AE7D50" w:rsidRPr="00AD151D">
        <w:t xml:space="preserve"> citations for violations related to compliance year 2011 and collected $7,000 in payments from LSEs arising fro</w:t>
      </w:r>
      <w:r w:rsidR="00A54B87">
        <w:t>m these citations.  In addition,</w:t>
      </w:r>
      <w:r w:rsidR="0090175C">
        <w:t xml:space="preserve"> the Commission started </w:t>
      </w:r>
      <w:r w:rsidR="00AE7D50" w:rsidRPr="00AD151D">
        <w:t xml:space="preserve">one enforcement case </w:t>
      </w:r>
      <w:r w:rsidR="007C14AD">
        <w:t>that</w:t>
      </w:r>
      <w:r w:rsidR="00AE7D50" w:rsidRPr="00AD151D">
        <w:t xml:space="preserve"> settled in February 2012</w:t>
      </w:r>
      <w:r w:rsidR="00A54B87">
        <w:t xml:space="preserve"> for</w:t>
      </w:r>
      <w:r w:rsidR="00AE7D50" w:rsidRPr="00AD151D">
        <w:t xml:space="preserve"> </w:t>
      </w:r>
      <w:r w:rsidR="00AB2D29" w:rsidRPr="00AD151D">
        <w:t xml:space="preserve">assessed </w:t>
      </w:r>
      <w:r w:rsidR="00AE7D50" w:rsidRPr="00AD151D">
        <w:t xml:space="preserve">penalties of $215,000.  </w:t>
      </w:r>
    </w:p>
    <w:p w:rsidR="00D00CEF" w:rsidRPr="00AD151D" w:rsidRDefault="0090175C">
      <w:pPr>
        <w:spacing w:before="120"/>
        <w:ind w:firstLine="720"/>
      </w:pPr>
      <w:r>
        <w:t>T</w:t>
      </w:r>
      <w:r w:rsidR="007C14AD">
        <w:t>o ensure and facilitate that</w:t>
      </w:r>
      <w:r w:rsidR="00AE7D50" w:rsidRPr="00AD151D">
        <w:t xml:space="preserve"> LSEs demonstrate procurement of valid RA capacity</w:t>
      </w:r>
      <w:r w:rsidR="007C14AD">
        <w:t xml:space="preserve"> per their RA obligations</w:t>
      </w:r>
      <w:r w:rsidR="00F16361">
        <w:t xml:space="preserve"> in 2010</w:t>
      </w:r>
      <w:r w:rsidR="00AE7D50" w:rsidRPr="00AD151D">
        <w:t xml:space="preserve"> </w:t>
      </w:r>
      <w:r w:rsidR="007C14AD">
        <w:t xml:space="preserve">the </w:t>
      </w:r>
      <w:r w:rsidR="00AE7D50" w:rsidRPr="00AD151D">
        <w:t>CAISO implement</w:t>
      </w:r>
      <w:r w:rsidR="00F16361">
        <w:t>ed</w:t>
      </w:r>
      <w:r w:rsidR="00AE7D50" w:rsidRPr="00AD151D">
        <w:t xml:space="preserve"> the Standard Capacity Product (SCP)</w:t>
      </w:r>
      <w:r w:rsidR="00F16361">
        <w:t xml:space="preserve"> tariff which includes</w:t>
      </w:r>
      <w:r w:rsidR="00AE7D50" w:rsidRPr="00AD151D">
        <w:t xml:space="preserve"> performance and availability penalties </w:t>
      </w:r>
      <w:r w:rsidR="00F16361">
        <w:t xml:space="preserve">that remained in effect in </w:t>
      </w:r>
      <w:r w:rsidR="0033102F">
        <w:t>2011.</w:t>
      </w:r>
      <w:r w:rsidR="00F16361">
        <w:t xml:space="preserve">  </w:t>
      </w:r>
    </w:p>
    <w:p w:rsidR="00AE7D50" w:rsidRPr="00AD151D" w:rsidRDefault="00AE7D50" w:rsidP="00D00CEF">
      <w:pPr>
        <w:pStyle w:val="Heading1"/>
        <w:numPr>
          <w:ilvl w:val="0"/>
          <w:numId w:val="18"/>
        </w:numPr>
      </w:pPr>
      <w:bookmarkStart w:id="11" w:name="_Toc225044600"/>
      <w:bookmarkStart w:id="12" w:name="_Toc224646386"/>
      <w:bookmarkStart w:id="13" w:name="_Toc224646471"/>
      <w:bookmarkStart w:id="14" w:name="_Toc224646750"/>
      <w:bookmarkStart w:id="15" w:name="_Toc224713567"/>
      <w:bookmarkStart w:id="16" w:name="_Toc224646394"/>
      <w:bookmarkStart w:id="17" w:name="_Toc224646479"/>
      <w:bookmarkStart w:id="18" w:name="_Toc224646546"/>
      <w:bookmarkStart w:id="19" w:name="_Toc224646758"/>
      <w:bookmarkStart w:id="20" w:name="_Toc224646825"/>
      <w:bookmarkStart w:id="21" w:name="_Toc224713575"/>
      <w:bookmarkStart w:id="22" w:name="_Toc224725368"/>
      <w:bookmarkStart w:id="23" w:name="_Toc223253248"/>
      <w:bookmarkStart w:id="24" w:name="_Toc223315656"/>
      <w:bookmarkStart w:id="25" w:name="_Toc224022431"/>
      <w:bookmarkStart w:id="26" w:name="_Toc347827042"/>
      <w:bookmarkEnd w:id="11"/>
      <w:bookmarkEnd w:id="12"/>
      <w:bookmarkEnd w:id="13"/>
      <w:bookmarkEnd w:id="14"/>
      <w:bookmarkEnd w:id="15"/>
      <w:bookmarkEnd w:id="16"/>
      <w:bookmarkEnd w:id="17"/>
      <w:bookmarkEnd w:id="18"/>
      <w:bookmarkEnd w:id="19"/>
      <w:bookmarkEnd w:id="20"/>
      <w:bookmarkEnd w:id="21"/>
      <w:bookmarkEnd w:id="22"/>
      <w:r w:rsidRPr="00AD151D">
        <w:lastRenderedPageBreak/>
        <w:t>Load Forecast and Resource Adequacy Program Requirements</w:t>
      </w:r>
      <w:bookmarkEnd w:id="23"/>
      <w:bookmarkEnd w:id="24"/>
      <w:bookmarkEnd w:id="25"/>
      <w:bookmarkEnd w:id="26"/>
      <w:r w:rsidRPr="00AD151D">
        <w:tab/>
      </w:r>
    </w:p>
    <w:p w:rsidR="00AE7D50" w:rsidRPr="00AD151D" w:rsidRDefault="00AE7D50">
      <w:pPr>
        <w:spacing w:before="120"/>
        <w:ind w:firstLine="720"/>
      </w:pPr>
      <w:r w:rsidRPr="00AD151D">
        <w:t xml:space="preserve">Each year the RA program requires LSEs to submit a series of filings including load forecasts and RA compliance showings.  Generally, LSEs file year ahead filings in October and twelve Month-Ahead filings due monthly during the compliance year.  Each compliance filing is preceded by a load forecast for the same period.  </w:t>
      </w:r>
    </w:p>
    <w:p w:rsidR="00AE7D50" w:rsidRPr="00AD151D" w:rsidRDefault="00AE7D50">
      <w:pPr>
        <w:spacing w:before="120"/>
        <w:ind w:firstLine="720"/>
      </w:pPr>
      <w:r w:rsidRPr="00AD151D">
        <w:t xml:space="preserve">In 2011, the RA program worked as intended, providing LSEs with timely information on RA Requirements and an opportunity to make adjustments.  Both customer migration adjustments and plausibility adjustments continued to decrease relative to previous years, although uncertainty related to the reopening of direct access led to increased plausibility adjustments in 2011.  </w:t>
      </w:r>
    </w:p>
    <w:p w:rsidR="00AE7D50" w:rsidRPr="0089481D" w:rsidRDefault="00AE7D50">
      <w:pPr>
        <w:pStyle w:val="Heading2"/>
        <w:numPr>
          <w:ilvl w:val="1"/>
          <w:numId w:val="18"/>
        </w:numPr>
        <w:rPr>
          <w:i w:val="0"/>
        </w:rPr>
      </w:pPr>
      <w:bookmarkStart w:id="27" w:name="_Toc224022432"/>
      <w:bookmarkStart w:id="28" w:name="_Toc347827043"/>
      <w:r w:rsidRPr="0089481D">
        <w:rPr>
          <w:i w:val="0"/>
        </w:rPr>
        <w:t>Yearly and Monthly Load Forecast Process</w:t>
      </w:r>
      <w:bookmarkEnd w:id="27"/>
      <w:bookmarkEnd w:id="28"/>
      <w:r w:rsidRPr="0089481D">
        <w:rPr>
          <w:i w:val="0"/>
        </w:rPr>
        <w:t xml:space="preserve"> </w:t>
      </w:r>
    </w:p>
    <w:p w:rsidR="00AE7D50" w:rsidRPr="00AD151D" w:rsidRDefault="00AE7D50">
      <w:pPr>
        <w:spacing w:before="120"/>
        <w:ind w:firstLine="720"/>
      </w:pPr>
      <w:r w:rsidRPr="00AD151D">
        <w:t>The RA program relies on a process of LSE forecasts</w:t>
      </w:r>
      <w:r w:rsidR="0090175C">
        <w:t xml:space="preserve"> that </w:t>
      </w:r>
      <w:r w:rsidRPr="00AD151D">
        <w:t>CEC compar</w:t>
      </w:r>
      <w:r w:rsidR="0090175C">
        <w:t>es</w:t>
      </w:r>
      <w:r w:rsidRPr="00AD151D">
        <w:t xml:space="preserve"> to historical load data and trends to establish each LSE’s RA Requirement.  In order to establish the System RA Requirement, CEC staff review load forecasts submitted by each LSE, reconcile those load forecasts against its own forecast for the entire IOU service territories, and generate</w:t>
      </w:r>
      <w:r w:rsidR="0090175C">
        <w:t>s</w:t>
      </w:r>
      <w:r w:rsidRPr="00AD151D">
        <w:t xml:space="preserve"> individual </w:t>
      </w:r>
      <w:r w:rsidR="0090175C">
        <w:t xml:space="preserve">monthly </w:t>
      </w:r>
      <w:r w:rsidRPr="00AD151D">
        <w:t>load forecast for each LSE.  For the 2011 Year-Ahead System RA filings, CPUC staff sent a spreadsheet containing Local RA obligations, final load forecasts, and allocations for DR, RMR, and Capacity Allocation Mechanism (CAM) resources to each LSE via password protected email on July 30, 2010.</w:t>
      </w:r>
      <w:r w:rsidRPr="00AD151D">
        <w:rPr>
          <w:rStyle w:val="FootnoteReference"/>
        </w:rPr>
        <w:footnoteReference w:id="16"/>
      </w:r>
      <w:r w:rsidRPr="00AD151D">
        <w:t xml:space="preserve">  </w:t>
      </w:r>
    </w:p>
    <w:p w:rsidR="00FB2ADC" w:rsidRDefault="00AE7D50" w:rsidP="00277DC8">
      <w:pPr>
        <w:keepNext/>
        <w:spacing w:before="120"/>
        <w:ind w:firstLine="720"/>
      </w:pPr>
      <w:r w:rsidRPr="00AD151D">
        <w:t xml:space="preserve">CPUC jurisdictional LSEs submitted their Year-Ahead compliance filings on or before October 31, 2011; Energy Division evaluated the Year-Ahead RA filings for compliance.  </w:t>
      </w:r>
      <w:r w:rsidR="005243B3" w:rsidRPr="00AD151D">
        <w:t>Each LSE’s Year-Ahead System RA obligation was based on two levels of load forecasting produced by the LSEs and the CEC.  D</w:t>
      </w:r>
      <w:r w:rsidR="005243B3">
        <w:t>.</w:t>
      </w:r>
      <w:r w:rsidR="005243B3" w:rsidRPr="00AD151D">
        <w:t>05-10-042 required LSEs to submit historical sales figures and forecast</w:t>
      </w:r>
      <w:r w:rsidR="0090175C">
        <w:t>s</w:t>
      </w:r>
      <w:r w:rsidR="005243B3" w:rsidRPr="00AD151D">
        <w:t xml:space="preserve"> for the following compliance year based on a reasonable assumption</w:t>
      </w:r>
      <w:r w:rsidR="0090175C">
        <w:t>s for</w:t>
      </w:r>
      <w:r w:rsidR="005243B3" w:rsidRPr="00AD151D">
        <w:t xml:space="preserve"> load growth and customer retention.</w:t>
      </w:r>
      <w:r w:rsidR="005243B3" w:rsidRPr="00AD151D">
        <w:rPr>
          <w:rStyle w:val="FootnoteReference"/>
        </w:rPr>
        <w:t xml:space="preserve"> </w:t>
      </w:r>
      <w:r w:rsidR="005243B3" w:rsidRPr="00AD151D">
        <w:rPr>
          <w:rStyle w:val="FootnoteReference"/>
        </w:rPr>
        <w:footnoteReference w:id="17"/>
      </w:r>
      <w:r w:rsidR="005243B3" w:rsidRPr="00AD151D">
        <w:t xml:space="preserve">  This is referred to as the “Best Estimate” approach. </w:t>
      </w:r>
      <w:r w:rsidR="00AF07E7" w:rsidRPr="00AD151D">
        <w:t xml:space="preserve">After the Year-Ahead forecast process, LSEs adjust their load forecasts during the compliance year to account for load migration.  </w:t>
      </w:r>
    </w:p>
    <w:p w:rsidR="00AF07E7" w:rsidRDefault="00AF07E7" w:rsidP="00277DC8">
      <w:pPr>
        <w:keepNext/>
        <w:spacing w:before="120"/>
        <w:ind w:firstLine="720"/>
      </w:pPr>
      <w:r w:rsidRPr="00AD151D">
        <w:t>D.05-10-042 outlined a process whereby LSEs adjust their load forecasts on a monthly basis.  The CPUC directed the LSEs to submit revised forecasts two months prior to the filing month, as discussed in the RA Guide for 2011 compliance year.</w:t>
      </w:r>
      <w:r w:rsidRPr="00AD151D">
        <w:rPr>
          <w:rStyle w:val="FootnoteReference"/>
        </w:rPr>
        <w:footnoteReference w:id="18"/>
      </w:r>
      <w:r w:rsidRPr="00AD151D">
        <w:t xml:space="preserve">  These load forecast adjustments are solely for the purpose of accounting for load migration between LSEs, not changing demographic or electrical conditions.  </w:t>
      </w:r>
    </w:p>
    <w:p w:rsidR="00AE7D50" w:rsidRPr="00AD151D" w:rsidRDefault="005243B3" w:rsidP="00277DC8">
      <w:pPr>
        <w:keepNext/>
        <w:spacing w:before="120"/>
        <w:ind w:firstLine="720"/>
      </w:pPr>
      <w:r>
        <w:t>LSEs submit t</w:t>
      </w:r>
      <w:r w:rsidRPr="00AD151D">
        <w:t>hese forecasts to the CEC for evaluation; the CEC adjust</w:t>
      </w:r>
      <w:r>
        <w:t>s</w:t>
      </w:r>
      <w:r w:rsidRPr="00AD151D">
        <w:t xml:space="preserve"> for transmission losses and</w:t>
      </w:r>
      <w:r w:rsidR="0090175C">
        <w:t xml:space="preserve"> customer</w:t>
      </w:r>
      <w:r w:rsidRPr="00AD151D">
        <w:t xml:space="preserve"> load migrat</w:t>
      </w:r>
      <w:r w:rsidR="0090175C">
        <w:t>ing back</w:t>
      </w:r>
      <w:r w:rsidRPr="00AD151D">
        <w:t xml:space="preserve"> to IOU service from direct access ESPs.  The CEC adjusted some individual LSE forecasts for plausibility </w:t>
      </w:r>
      <w:r>
        <w:t>when</w:t>
      </w:r>
      <w:r w:rsidRPr="00AD151D">
        <w:t xml:space="preserve"> the LSE submitted forecast </w:t>
      </w:r>
      <w:r>
        <w:t xml:space="preserve">diverge </w:t>
      </w:r>
      <w:r w:rsidRPr="00AD151D">
        <w:t xml:space="preserve"> unreasonably from the LSE’s actual peak loads or the LSE’s historical usage.  With that said, load migration can have very large effects on LSE </w:t>
      </w:r>
      <w:r w:rsidRPr="00AD151D">
        <w:lastRenderedPageBreak/>
        <w:t xml:space="preserve">forecasts, particularly </w:t>
      </w:r>
      <w:r>
        <w:t xml:space="preserve">small </w:t>
      </w:r>
      <w:r w:rsidRPr="00AD151D">
        <w:t xml:space="preserve">ESP forecasts.  As specified by D.05-10-042, adjustments were made to account for the impact of energy efficiency (EE), distributed generation (DG) and coincidence of peak load. </w:t>
      </w:r>
    </w:p>
    <w:p w:rsidR="00AE7D50" w:rsidRPr="00AD151D" w:rsidRDefault="00AE7D50">
      <w:pPr>
        <w:pStyle w:val="Heading3"/>
        <w:numPr>
          <w:ilvl w:val="2"/>
          <w:numId w:val="18"/>
        </w:numPr>
      </w:pPr>
      <w:bookmarkStart w:id="29" w:name="_Toc224022433"/>
      <w:bookmarkStart w:id="30" w:name="_Ref225247942"/>
      <w:bookmarkStart w:id="31" w:name="_Toc347827044"/>
      <w:r w:rsidRPr="00AD151D">
        <w:t xml:space="preserve">Yearly Load Forecast </w:t>
      </w:r>
      <w:r w:rsidR="005243B3">
        <w:t>Results</w:t>
      </w:r>
      <w:bookmarkEnd w:id="29"/>
      <w:bookmarkEnd w:id="30"/>
      <w:bookmarkEnd w:id="31"/>
    </w:p>
    <w:p w:rsidR="00AE7D50" w:rsidRPr="00AD151D" w:rsidRDefault="00F27FC0">
      <w:pPr>
        <w:widowControl w:val="0"/>
        <w:spacing w:before="120"/>
        <w:ind w:firstLine="720"/>
      </w:pPr>
      <w:r w:rsidRPr="00AD151D">
        <w:fldChar w:fldCharType="begin"/>
      </w:r>
      <w:r w:rsidRPr="00AD151D">
        <w:instrText xml:space="preserve"> REF _Ref225160480 \h  \* MERGEFORMAT </w:instrText>
      </w:r>
      <w:r w:rsidRPr="00AD151D">
        <w:fldChar w:fldCharType="separate"/>
      </w:r>
      <w:r w:rsidR="00B3535E" w:rsidRPr="00AD151D">
        <w:t xml:space="preserve">Table </w:t>
      </w:r>
      <w:r w:rsidR="00B3535E">
        <w:t>1</w:t>
      </w:r>
      <w:r w:rsidRPr="00AD151D">
        <w:fldChar w:fldCharType="end"/>
      </w:r>
      <w:r w:rsidR="00AE7D50" w:rsidRPr="00AD151D">
        <w:t xml:space="preserve"> shows the aggregate LSE submissions for 2011 and the adjustments that were made across all three IOU service areas.  Because the historic and forecast data submitted by participating LSEs contain market sensitive information, results are discussed and presented in aggregate.  These adjustments in</w:t>
      </w:r>
      <w:r w:rsidR="00C44BBC" w:rsidRPr="00AD151D">
        <w:t>clude plausibility adjustments</w:t>
      </w:r>
      <w:r w:rsidR="00AE7D50" w:rsidRPr="00AD151D">
        <w:t>, demand side management adjustments, and a</w:t>
      </w:r>
      <w:r w:rsidR="00691252" w:rsidRPr="00AD151D">
        <w:t xml:space="preserve"> prorated</w:t>
      </w:r>
      <w:r w:rsidR="00AE7D50" w:rsidRPr="00AD151D">
        <w:t xml:space="preserve"> adjustment to </w:t>
      </w:r>
      <w:r w:rsidR="00C44BBC" w:rsidRPr="00AD151D">
        <w:t xml:space="preserve">each LSE’s forecast to </w:t>
      </w:r>
      <w:r w:rsidR="00AE7D50" w:rsidRPr="00AD151D">
        <w:t xml:space="preserve">bring the total forecasts within one percent of the CEC’s service area forecasts.  Finally, aggregate service area forecasts were adjusted </w:t>
      </w:r>
      <w:r w:rsidR="00C44BBC" w:rsidRPr="00AD151D">
        <w:t xml:space="preserve">to produce a forecast of each LSE’s contribution towards coincident service area </w:t>
      </w:r>
      <w:r w:rsidR="00AE7D50" w:rsidRPr="00AD151D">
        <w:t>peak.  The forecast for CPUC jurisdictional LSEs showed an expected peak in August 2011 at 44,847 MW, which represents a .3% decrease from the peak forecast of 44,979 MW in 2010.</w:t>
      </w:r>
      <w:r w:rsidR="00AE7D50" w:rsidRPr="00AD151D">
        <w:rPr>
          <w:rStyle w:val="FootnoteReference"/>
        </w:rPr>
        <w:footnoteReference w:id="19"/>
      </w:r>
      <w:r w:rsidR="00AE7D50" w:rsidRPr="00AD151D">
        <w:t xml:space="preserve">   </w:t>
      </w:r>
    </w:p>
    <w:p w:rsidR="00AE7D50" w:rsidRPr="00AD151D" w:rsidRDefault="00AE7D50">
      <w:pPr>
        <w:pStyle w:val="Caption"/>
        <w:keepNext/>
        <w:keepLines/>
        <w:spacing w:before="120"/>
      </w:pPr>
      <w:bookmarkStart w:id="32" w:name="_Ref225160480"/>
      <w:bookmarkStart w:id="33" w:name="_Toc347827071"/>
      <w:r w:rsidRPr="00AD151D">
        <w:t xml:space="preserve">Table </w:t>
      </w:r>
      <w:r w:rsidR="00B3535E">
        <w:fldChar w:fldCharType="begin"/>
      </w:r>
      <w:r w:rsidR="00B3535E">
        <w:instrText xml:space="preserve"> SEQ Table \* ARABIC </w:instrText>
      </w:r>
      <w:r w:rsidR="00B3535E">
        <w:fldChar w:fldCharType="separate"/>
      </w:r>
      <w:r w:rsidR="00B3535E">
        <w:rPr>
          <w:noProof/>
        </w:rPr>
        <w:t>1</w:t>
      </w:r>
      <w:r w:rsidR="00B3535E">
        <w:rPr>
          <w:noProof/>
        </w:rPr>
        <w:fldChar w:fldCharType="end"/>
      </w:r>
      <w:bookmarkEnd w:id="32"/>
      <w:r w:rsidRPr="00AD151D">
        <w:t>. 2011 Aggregated Load Forecast Data (MW)</w:t>
      </w:r>
      <w:bookmarkEnd w:id="33"/>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170"/>
        <w:gridCol w:w="630"/>
        <w:gridCol w:w="630"/>
        <w:gridCol w:w="630"/>
        <w:gridCol w:w="540"/>
        <w:gridCol w:w="540"/>
        <w:gridCol w:w="540"/>
        <w:gridCol w:w="540"/>
        <w:gridCol w:w="540"/>
        <w:gridCol w:w="630"/>
        <w:gridCol w:w="540"/>
        <w:gridCol w:w="630"/>
        <w:gridCol w:w="540"/>
        <w:gridCol w:w="598"/>
      </w:tblGrid>
      <w:tr w:rsidR="00AE7D50" w:rsidRPr="00AD151D" w:rsidTr="00C44BBC">
        <w:trPr>
          <w:trHeight w:val="178"/>
        </w:trPr>
        <w:tc>
          <w:tcPr>
            <w:tcW w:w="8698" w:type="dxa"/>
            <w:gridSpan w:val="14"/>
            <w:noWrap/>
            <w:tcMar>
              <w:left w:w="58" w:type="dxa"/>
              <w:right w:w="58" w:type="dxa"/>
            </w:tcMar>
            <w:vAlign w:val="bottom"/>
          </w:tcPr>
          <w:p w:rsidR="00AE7D50" w:rsidRPr="00AD151D" w:rsidRDefault="00AE7D50">
            <w:pPr>
              <w:keepNext/>
              <w:keepLines/>
              <w:spacing w:before="120"/>
              <w:jc w:val="center"/>
              <w:rPr>
                <w:sz w:val="16"/>
                <w:szCs w:val="16"/>
              </w:rPr>
            </w:pPr>
            <w:r w:rsidRPr="00AD151D">
              <w:rPr>
                <w:sz w:val="16"/>
                <w:szCs w:val="16"/>
              </w:rPr>
              <w:t>SUMMARY TOTAL</w:t>
            </w:r>
          </w:p>
        </w:tc>
      </w:tr>
      <w:tr w:rsidR="00AE7D50" w:rsidRPr="00AD151D" w:rsidTr="00C44BBC">
        <w:trPr>
          <w:trHeight w:val="154"/>
        </w:trPr>
        <w:tc>
          <w:tcPr>
            <w:tcW w:w="1170" w:type="dxa"/>
            <w:noWrap/>
            <w:tcMar>
              <w:left w:w="58" w:type="dxa"/>
              <w:right w:w="58" w:type="dxa"/>
            </w:tcMar>
            <w:vAlign w:val="bottom"/>
          </w:tcPr>
          <w:p w:rsidR="00AE7D50" w:rsidRPr="00AD151D" w:rsidRDefault="00AE7D50">
            <w:pPr>
              <w:keepNext/>
              <w:keepLines/>
              <w:spacing w:before="120"/>
              <w:rPr>
                <w:sz w:val="16"/>
                <w:szCs w:val="16"/>
              </w:rPr>
            </w:pPr>
            <w:r w:rsidRPr="00AD151D">
              <w:rPr>
                <w:sz w:val="16"/>
                <w:szCs w:val="16"/>
              </w:rPr>
              <w:t> </w:t>
            </w:r>
          </w:p>
        </w:tc>
        <w:tc>
          <w:tcPr>
            <w:tcW w:w="630" w:type="dxa"/>
            <w:noWrap/>
            <w:tcMar>
              <w:left w:w="58" w:type="dxa"/>
              <w:right w:w="58" w:type="dxa"/>
            </w:tcMar>
            <w:vAlign w:val="bottom"/>
          </w:tcPr>
          <w:p w:rsidR="00AE7D50" w:rsidRPr="00AD151D" w:rsidRDefault="00AE7D50">
            <w:pPr>
              <w:keepNext/>
              <w:keepLines/>
              <w:spacing w:before="120"/>
              <w:rPr>
                <w:sz w:val="16"/>
                <w:szCs w:val="16"/>
              </w:rPr>
            </w:pPr>
            <w:r w:rsidRPr="00AD151D">
              <w:rPr>
                <w:sz w:val="16"/>
                <w:szCs w:val="16"/>
              </w:rPr>
              <w:t> </w:t>
            </w:r>
          </w:p>
        </w:tc>
        <w:tc>
          <w:tcPr>
            <w:tcW w:w="6898" w:type="dxa"/>
            <w:gridSpan w:val="12"/>
            <w:noWrap/>
            <w:tcMar>
              <w:left w:w="58" w:type="dxa"/>
              <w:right w:w="58" w:type="dxa"/>
            </w:tcMar>
            <w:vAlign w:val="bottom"/>
          </w:tcPr>
          <w:p w:rsidR="00AE7D50" w:rsidRPr="00AD151D" w:rsidRDefault="00AE7D50">
            <w:pPr>
              <w:keepNext/>
              <w:keepLines/>
              <w:spacing w:before="120"/>
              <w:jc w:val="center"/>
              <w:rPr>
                <w:sz w:val="16"/>
                <w:szCs w:val="16"/>
              </w:rPr>
            </w:pPr>
            <w:r w:rsidRPr="00AD151D">
              <w:rPr>
                <w:sz w:val="16"/>
                <w:szCs w:val="16"/>
              </w:rPr>
              <w:t>Peak Demand for Month of Calendar 2011 (MW)</w:t>
            </w:r>
          </w:p>
        </w:tc>
      </w:tr>
      <w:tr w:rsidR="005C7D93" w:rsidRPr="00AD151D" w:rsidTr="00691252">
        <w:trPr>
          <w:trHeight w:val="351"/>
        </w:trPr>
        <w:tc>
          <w:tcPr>
            <w:tcW w:w="1170" w:type="dxa"/>
            <w:noWrap/>
            <w:tcMar>
              <w:left w:w="58" w:type="dxa"/>
              <w:right w:w="58" w:type="dxa"/>
            </w:tcMar>
            <w:vAlign w:val="bottom"/>
          </w:tcPr>
          <w:p w:rsidR="00AE7D50" w:rsidRPr="00AD151D" w:rsidRDefault="00AE7D50">
            <w:pPr>
              <w:keepNext/>
              <w:keepLines/>
              <w:spacing w:before="120"/>
              <w:rPr>
                <w:sz w:val="16"/>
                <w:szCs w:val="16"/>
              </w:rPr>
            </w:pPr>
            <w:r w:rsidRPr="00AD151D">
              <w:rPr>
                <w:sz w:val="16"/>
                <w:szCs w:val="16"/>
              </w:rPr>
              <w:t>Element</w:t>
            </w:r>
          </w:p>
        </w:tc>
        <w:tc>
          <w:tcPr>
            <w:tcW w:w="630" w:type="dxa"/>
            <w:noWrap/>
            <w:tcMar>
              <w:left w:w="58" w:type="dxa"/>
              <w:right w:w="58" w:type="dxa"/>
            </w:tcMar>
            <w:vAlign w:val="bottom"/>
          </w:tcPr>
          <w:p w:rsidR="00AE7D50" w:rsidRPr="00AD151D" w:rsidRDefault="00AE7D50">
            <w:pPr>
              <w:keepNext/>
              <w:keepLines/>
              <w:spacing w:before="120"/>
              <w:rPr>
                <w:sz w:val="16"/>
                <w:szCs w:val="16"/>
              </w:rPr>
            </w:pPr>
            <w:r w:rsidRPr="00AD151D">
              <w:rPr>
                <w:sz w:val="16"/>
                <w:szCs w:val="16"/>
              </w:rPr>
              <w:t>Service Area</w:t>
            </w:r>
          </w:p>
        </w:tc>
        <w:tc>
          <w:tcPr>
            <w:tcW w:w="630" w:type="dxa"/>
            <w:noWrap/>
            <w:tcMar>
              <w:left w:w="58" w:type="dxa"/>
              <w:right w:w="58" w:type="dxa"/>
            </w:tcMar>
            <w:vAlign w:val="bottom"/>
          </w:tcPr>
          <w:p w:rsidR="00AE7D50" w:rsidRPr="00AD151D" w:rsidRDefault="00AE7D50">
            <w:pPr>
              <w:keepNext/>
              <w:keepLines/>
              <w:spacing w:before="120"/>
              <w:rPr>
                <w:sz w:val="16"/>
                <w:szCs w:val="16"/>
              </w:rPr>
            </w:pPr>
            <w:r w:rsidRPr="00AD151D">
              <w:rPr>
                <w:sz w:val="16"/>
                <w:szCs w:val="16"/>
              </w:rPr>
              <w:t>Jan</w:t>
            </w:r>
          </w:p>
        </w:tc>
        <w:tc>
          <w:tcPr>
            <w:tcW w:w="630" w:type="dxa"/>
            <w:noWrap/>
            <w:tcMar>
              <w:left w:w="58" w:type="dxa"/>
              <w:right w:w="58" w:type="dxa"/>
            </w:tcMar>
            <w:vAlign w:val="bottom"/>
          </w:tcPr>
          <w:p w:rsidR="00AE7D50" w:rsidRPr="00AD151D" w:rsidRDefault="00AE7D50">
            <w:pPr>
              <w:keepNext/>
              <w:keepLines/>
              <w:spacing w:before="120"/>
              <w:rPr>
                <w:sz w:val="16"/>
                <w:szCs w:val="16"/>
              </w:rPr>
            </w:pPr>
            <w:r w:rsidRPr="00AD151D">
              <w:rPr>
                <w:sz w:val="16"/>
                <w:szCs w:val="16"/>
              </w:rPr>
              <w:t>Feb</w:t>
            </w:r>
          </w:p>
        </w:tc>
        <w:tc>
          <w:tcPr>
            <w:tcW w:w="540" w:type="dxa"/>
            <w:noWrap/>
            <w:tcMar>
              <w:left w:w="58" w:type="dxa"/>
              <w:right w:w="58" w:type="dxa"/>
            </w:tcMar>
            <w:vAlign w:val="bottom"/>
          </w:tcPr>
          <w:p w:rsidR="00AE7D50" w:rsidRPr="00AD151D" w:rsidRDefault="00AE7D50">
            <w:pPr>
              <w:keepNext/>
              <w:keepLines/>
              <w:spacing w:before="120"/>
              <w:rPr>
                <w:sz w:val="16"/>
                <w:szCs w:val="16"/>
              </w:rPr>
            </w:pPr>
            <w:r w:rsidRPr="00AD151D">
              <w:rPr>
                <w:sz w:val="16"/>
                <w:szCs w:val="16"/>
              </w:rPr>
              <w:t>Mar</w:t>
            </w:r>
          </w:p>
        </w:tc>
        <w:tc>
          <w:tcPr>
            <w:tcW w:w="540" w:type="dxa"/>
            <w:noWrap/>
            <w:tcMar>
              <w:left w:w="58" w:type="dxa"/>
              <w:right w:w="58" w:type="dxa"/>
            </w:tcMar>
            <w:vAlign w:val="bottom"/>
          </w:tcPr>
          <w:p w:rsidR="00AE7D50" w:rsidRPr="00AD151D" w:rsidRDefault="00AE7D50">
            <w:pPr>
              <w:keepNext/>
              <w:keepLines/>
              <w:spacing w:before="120"/>
              <w:rPr>
                <w:sz w:val="16"/>
                <w:szCs w:val="16"/>
              </w:rPr>
            </w:pPr>
            <w:r w:rsidRPr="00AD151D">
              <w:rPr>
                <w:sz w:val="16"/>
                <w:szCs w:val="16"/>
              </w:rPr>
              <w:t>Apr</w:t>
            </w:r>
          </w:p>
        </w:tc>
        <w:tc>
          <w:tcPr>
            <w:tcW w:w="540" w:type="dxa"/>
            <w:noWrap/>
            <w:tcMar>
              <w:left w:w="58" w:type="dxa"/>
              <w:right w:w="58" w:type="dxa"/>
            </w:tcMar>
            <w:vAlign w:val="bottom"/>
          </w:tcPr>
          <w:p w:rsidR="00AE7D50" w:rsidRPr="00AD151D" w:rsidRDefault="00AE7D50">
            <w:pPr>
              <w:keepNext/>
              <w:keepLines/>
              <w:spacing w:before="120"/>
              <w:rPr>
                <w:sz w:val="16"/>
                <w:szCs w:val="16"/>
              </w:rPr>
            </w:pPr>
            <w:r w:rsidRPr="00AD151D">
              <w:rPr>
                <w:sz w:val="16"/>
                <w:szCs w:val="16"/>
              </w:rPr>
              <w:t>May</w:t>
            </w:r>
          </w:p>
        </w:tc>
        <w:tc>
          <w:tcPr>
            <w:tcW w:w="540" w:type="dxa"/>
            <w:noWrap/>
            <w:tcMar>
              <w:left w:w="58" w:type="dxa"/>
              <w:right w:w="58" w:type="dxa"/>
            </w:tcMar>
            <w:vAlign w:val="bottom"/>
          </w:tcPr>
          <w:p w:rsidR="00AE7D50" w:rsidRPr="00AD151D" w:rsidRDefault="00AE7D50">
            <w:pPr>
              <w:keepNext/>
              <w:keepLines/>
              <w:spacing w:before="120"/>
              <w:rPr>
                <w:sz w:val="16"/>
                <w:szCs w:val="16"/>
              </w:rPr>
            </w:pPr>
            <w:r w:rsidRPr="00AD151D">
              <w:rPr>
                <w:sz w:val="16"/>
                <w:szCs w:val="16"/>
              </w:rPr>
              <w:t>Jun</w:t>
            </w:r>
          </w:p>
        </w:tc>
        <w:tc>
          <w:tcPr>
            <w:tcW w:w="540" w:type="dxa"/>
            <w:noWrap/>
            <w:tcMar>
              <w:left w:w="58" w:type="dxa"/>
              <w:right w:w="58" w:type="dxa"/>
            </w:tcMar>
            <w:vAlign w:val="bottom"/>
          </w:tcPr>
          <w:p w:rsidR="00AE7D50" w:rsidRPr="00AD151D" w:rsidRDefault="00AE7D50">
            <w:pPr>
              <w:keepNext/>
              <w:keepLines/>
              <w:spacing w:before="120"/>
              <w:rPr>
                <w:sz w:val="16"/>
                <w:szCs w:val="16"/>
              </w:rPr>
            </w:pPr>
            <w:r w:rsidRPr="00AD151D">
              <w:rPr>
                <w:sz w:val="16"/>
                <w:szCs w:val="16"/>
              </w:rPr>
              <w:t>Jul</w:t>
            </w:r>
          </w:p>
        </w:tc>
        <w:tc>
          <w:tcPr>
            <w:tcW w:w="630" w:type="dxa"/>
            <w:noWrap/>
            <w:tcMar>
              <w:left w:w="58" w:type="dxa"/>
              <w:right w:w="58" w:type="dxa"/>
            </w:tcMar>
            <w:vAlign w:val="bottom"/>
          </w:tcPr>
          <w:p w:rsidR="00AE7D50" w:rsidRPr="00AD151D" w:rsidRDefault="00AE7D50">
            <w:pPr>
              <w:keepNext/>
              <w:keepLines/>
              <w:spacing w:before="120"/>
              <w:rPr>
                <w:sz w:val="16"/>
                <w:szCs w:val="16"/>
              </w:rPr>
            </w:pPr>
            <w:r w:rsidRPr="00AD151D">
              <w:rPr>
                <w:sz w:val="16"/>
                <w:szCs w:val="16"/>
              </w:rPr>
              <w:t>Aug</w:t>
            </w:r>
          </w:p>
        </w:tc>
        <w:tc>
          <w:tcPr>
            <w:tcW w:w="540" w:type="dxa"/>
            <w:noWrap/>
            <w:tcMar>
              <w:left w:w="58" w:type="dxa"/>
              <w:right w:w="58" w:type="dxa"/>
            </w:tcMar>
            <w:vAlign w:val="bottom"/>
          </w:tcPr>
          <w:p w:rsidR="00AE7D50" w:rsidRPr="00AD151D" w:rsidRDefault="00AE7D50">
            <w:pPr>
              <w:keepNext/>
              <w:keepLines/>
              <w:spacing w:before="120"/>
              <w:rPr>
                <w:sz w:val="16"/>
                <w:szCs w:val="16"/>
              </w:rPr>
            </w:pPr>
            <w:r w:rsidRPr="00AD151D">
              <w:rPr>
                <w:sz w:val="16"/>
                <w:szCs w:val="16"/>
              </w:rPr>
              <w:t>Sep</w:t>
            </w:r>
          </w:p>
        </w:tc>
        <w:tc>
          <w:tcPr>
            <w:tcW w:w="630" w:type="dxa"/>
            <w:noWrap/>
            <w:tcMar>
              <w:left w:w="58" w:type="dxa"/>
              <w:right w:w="58" w:type="dxa"/>
            </w:tcMar>
            <w:vAlign w:val="bottom"/>
          </w:tcPr>
          <w:p w:rsidR="00AE7D50" w:rsidRPr="00AD151D" w:rsidRDefault="00AE7D50">
            <w:pPr>
              <w:keepNext/>
              <w:keepLines/>
              <w:spacing w:before="120"/>
              <w:rPr>
                <w:sz w:val="16"/>
                <w:szCs w:val="16"/>
              </w:rPr>
            </w:pPr>
            <w:r w:rsidRPr="00AD151D">
              <w:rPr>
                <w:sz w:val="16"/>
                <w:szCs w:val="16"/>
              </w:rPr>
              <w:t>Oct</w:t>
            </w:r>
          </w:p>
        </w:tc>
        <w:tc>
          <w:tcPr>
            <w:tcW w:w="540" w:type="dxa"/>
            <w:noWrap/>
            <w:tcMar>
              <w:left w:w="58" w:type="dxa"/>
              <w:right w:w="58" w:type="dxa"/>
            </w:tcMar>
            <w:vAlign w:val="bottom"/>
          </w:tcPr>
          <w:p w:rsidR="00AE7D50" w:rsidRPr="00AD151D" w:rsidRDefault="00AE7D50">
            <w:pPr>
              <w:keepNext/>
              <w:keepLines/>
              <w:spacing w:before="120"/>
              <w:rPr>
                <w:sz w:val="16"/>
                <w:szCs w:val="16"/>
              </w:rPr>
            </w:pPr>
            <w:r w:rsidRPr="00AD151D">
              <w:rPr>
                <w:sz w:val="16"/>
                <w:szCs w:val="16"/>
              </w:rPr>
              <w:t>Nov</w:t>
            </w:r>
          </w:p>
        </w:tc>
        <w:tc>
          <w:tcPr>
            <w:tcW w:w="598" w:type="dxa"/>
            <w:noWrap/>
            <w:tcMar>
              <w:left w:w="58" w:type="dxa"/>
              <w:right w:w="58" w:type="dxa"/>
            </w:tcMar>
            <w:vAlign w:val="bottom"/>
          </w:tcPr>
          <w:p w:rsidR="00AE7D50" w:rsidRPr="00AD151D" w:rsidRDefault="00AE7D50">
            <w:pPr>
              <w:keepNext/>
              <w:keepLines/>
              <w:spacing w:before="120"/>
              <w:rPr>
                <w:sz w:val="16"/>
                <w:szCs w:val="16"/>
              </w:rPr>
            </w:pPr>
            <w:r w:rsidRPr="00AD151D">
              <w:rPr>
                <w:sz w:val="16"/>
                <w:szCs w:val="16"/>
              </w:rPr>
              <w:t>Dec</w:t>
            </w:r>
          </w:p>
        </w:tc>
      </w:tr>
      <w:tr w:rsidR="005C7D93" w:rsidRPr="00AD151D" w:rsidTr="007D0547">
        <w:trPr>
          <w:trHeight w:val="971"/>
        </w:trPr>
        <w:tc>
          <w:tcPr>
            <w:tcW w:w="1170" w:type="dxa"/>
            <w:noWrap/>
            <w:tcMar>
              <w:left w:w="58" w:type="dxa"/>
              <w:right w:w="58" w:type="dxa"/>
            </w:tcMar>
            <w:vAlign w:val="center"/>
          </w:tcPr>
          <w:p w:rsidR="00AE7D50" w:rsidRPr="00AD151D" w:rsidRDefault="00AE7D50" w:rsidP="007D0547">
            <w:pPr>
              <w:keepNext/>
              <w:keepLines/>
              <w:rPr>
                <w:sz w:val="16"/>
                <w:szCs w:val="16"/>
              </w:rPr>
            </w:pPr>
            <w:r w:rsidRPr="00AD151D">
              <w:rPr>
                <w:sz w:val="16"/>
                <w:szCs w:val="16"/>
              </w:rPr>
              <w:t>Submitted LSE Forecast (Metered Load + T&amp;D Losses + UFE)</w:t>
            </w:r>
          </w:p>
        </w:tc>
        <w:tc>
          <w:tcPr>
            <w:tcW w:w="630" w:type="dxa"/>
            <w:noWrap/>
            <w:tcMar>
              <w:left w:w="58" w:type="dxa"/>
              <w:right w:w="58" w:type="dxa"/>
            </w:tcMar>
            <w:vAlign w:val="bottom"/>
          </w:tcPr>
          <w:p w:rsidR="00AE7D50" w:rsidRPr="00AD151D" w:rsidRDefault="00AE7D50" w:rsidP="007D0547">
            <w:pPr>
              <w:keepNext/>
              <w:keepLines/>
              <w:rPr>
                <w:sz w:val="16"/>
                <w:szCs w:val="16"/>
              </w:rPr>
            </w:pPr>
            <w:r w:rsidRPr="00AD151D">
              <w:rPr>
                <w:sz w:val="16"/>
                <w:szCs w:val="16"/>
              </w:rPr>
              <w:t>Total</w:t>
            </w:r>
          </w:p>
        </w:tc>
        <w:tc>
          <w:tcPr>
            <w:tcW w:w="630" w:type="dxa"/>
            <w:noWrap/>
            <w:tcMar>
              <w:left w:w="58" w:type="dxa"/>
              <w:right w:w="58" w:type="dxa"/>
            </w:tcMar>
            <w:vAlign w:val="bottom"/>
          </w:tcPr>
          <w:p w:rsidR="00AE7D50" w:rsidRPr="00AD151D" w:rsidRDefault="00AE7D50" w:rsidP="007D0547">
            <w:pPr>
              <w:jc w:val="center"/>
              <w:rPr>
                <w:sz w:val="15"/>
                <w:szCs w:val="15"/>
              </w:rPr>
            </w:pPr>
            <w:r w:rsidRPr="00AD151D">
              <w:rPr>
                <w:sz w:val="15"/>
                <w:szCs w:val="15"/>
              </w:rPr>
              <w:t>29,813</w:t>
            </w:r>
          </w:p>
        </w:tc>
        <w:tc>
          <w:tcPr>
            <w:tcW w:w="630" w:type="dxa"/>
            <w:noWrap/>
            <w:tcMar>
              <w:left w:w="58" w:type="dxa"/>
              <w:right w:w="58" w:type="dxa"/>
            </w:tcMar>
            <w:vAlign w:val="bottom"/>
          </w:tcPr>
          <w:p w:rsidR="00AE7D50" w:rsidRPr="00AD151D" w:rsidRDefault="00AE7D50" w:rsidP="007D0547">
            <w:pPr>
              <w:jc w:val="center"/>
              <w:rPr>
                <w:sz w:val="15"/>
                <w:szCs w:val="15"/>
              </w:rPr>
            </w:pPr>
            <w:r w:rsidRPr="00AD151D">
              <w:rPr>
                <w:sz w:val="15"/>
                <w:szCs w:val="15"/>
              </w:rPr>
              <w:t>28,909</w:t>
            </w:r>
          </w:p>
        </w:tc>
        <w:tc>
          <w:tcPr>
            <w:tcW w:w="540" w:type="dxa"/>
            <w:noWrap/>
            <w:tcMar>
              <w:left w:w="58" w:type="dxa"/>
              <w:right w:w="58" w:type="dxa"/>
            </w:tcMar>
            <w:vAlign w:val="bottom"/>
          </w:tcPr>
          <w:p w:rsidR="00AE7D50" w:rsidRPr="00AD151D" w:rsidRDefault="00AE7D50" w:rsidP="007D0547">
            <w:pPr>
              <w:jc w:val="center"/>
              <w:rPr>
                <w:sz w:val="15"/>
                <w:szCs w:val="15"/>
              </w:rPr>
            </w:pPr>
            <w:r w:rsidRPr="00AD151D">
              <w:rPr>
                <w:sz w:val="15"/>
                <w:szCs w:val="15"/>
              </w:rPr>
              <w:t>28,671</w:t>
            </w:r>
          </w:p>
        </w:tc>
        <w:tc>
          <w:tcPr>
            <w:tcW w:w="540" w:type="dxa"/>
            <w:noWrap/>
            <w:tcMar>
              <w:left w:w="58" w:type="dxa"/>
              <w:right w:w="58" w:type="dxa"/>
            </w:tcMar>
            <w:vAlign w:val="bottom"/>
          </w:tcPr>
          <w:p w:rsidR="00AE7D50" w:rsidRPr="00AD151D" w:rsidRDefault="00AE7D50" w:rsidP="007D0547">
            <w:pPr>
              <w:jc w:val="center"/>
              <w:rPr>
                <w:sz w:val="15"/>
                <w:szCs w:val="15"/>
              </w:rPr>
            </w:pPr>
            <w:r w:rsidRPr="00AD151D">
              <w:rPr>
                <w:sz w:val="15"/>
                <w:szCs w:val="15"/>
              </w:rPr>
              <w:t>29,939</w:t>
            </w:r>
          </w:p>
        </w:tc>
        <w:tc>
          <w:tcPr>
            <w:tcW w:w="540" w:type="dxa"/>
            <w:noWrap/>
            <w:tcMar>
              <w:left w:w="58" w:type="dxa"/>
              <w:right w:w="58" w:type="dxa"/>
            </w:tcMar>
            <w:vAlign w:val="bottom"/>
          </w:tcPr>
          <w:p w:rsidR="00AE7D50" w:rsidRPr="00AD151D" w:rsidRDefault="00AE7D50" w:rsidP="007D0547">
            <w:pPr>
              <w:jc w:val="center"/>
              <w:rPr>
                <w:sz w:val="15"/>
                <w:szCs w:val="15"/>
              </w:rPr>
            </w:pPr>
            <w:r w:rsidRPr="00AD151D">
              <w:rPr>
                <w:sz w:val="15"/>
                <w:szCs w:val="15"/>
              </w:rPr>
              <w:t>34,806</w:t>
            </w:r>
          </w:p>
        </w:tc>
        <w:tc>
          <w:tcPr>
            <w:tcW w:w="540" w:type="dxa"/>
            <w:noWrap/>
            <w:tcMar>
              <w:left w:w="58" w:type="dxa"/>
              <w:right w:w="58" w:type="dxa"/>
            </w:tcMar>
            <w:vAlign w:val="bottom"/>
          </w:tcPr>
          <w:p w:rsidR="00AE7D50" w:rsidRPr="00AD151D" w:rsidRDefault="00AE7D50" w:rsidP="007D0547">
            <w:pPr>
              <w:jc w:val="center"/>
              <w:rPr>
                <w:sz w:val="15"/>
                <w:szCs w:val="15"/>
              </w:rPr>
            </w:pPr>
            <w:r w:rsidRPr="00AD151D">
              <w:rPr>
                <w:sz w:val="15"/>
                <w:szCs w:val="15"/>
              </w:rPr>
              <w:t>39,026</w:t>
            </w:r>
          </w:p>
        </w:tc>
        <w:tc>
          <w:tcPr>
            <w:tcW w:w="540" w:type="dxa"/>
            <w:noWrap/>
            <w:tcMar>
              <w:left w:w="58" w:type="dxa"/>
              <w:right w:w="58" w:type="dxa"/>
            </w:tcMar>
            <w:vAlign w:val="bottom"/>
          </w:tcPr>
          <w:p w:rsidR="00AE7D50" w:rsidRPr="00AD151D" w:rsidRDefault="00AE7D50" w:rsidP="007D0547">
            <w:pPr>
              <w:jc w:val="center"/>
              <w:rPr>
                <w:sz w:val="15"/>
                <w:szCs w:val="15"/>
              </w:rPr>
            </w:pPr>
            <w:r w:rsidRPr="00AD151D">
              <w:rPr>
                <w:sz w:val="15"/>
                <w:szCs w:val="15"/>
              </w:rPr>
              <w:t>42,416</w:t>
            </w:r>
          </w:p>
        </w:tc>
        <w:tc>
          <w:tcPr>
            <w:tcW w:w="630" w:type="dxa"/>
            <w:noWrap/>
            <w:tcMar>
              <w:left w:w="58" w:type="dxa"/>
              <w:right w:w="58" w:type="dxa"/>
            </w:tcMar>
            <w:vAlign w:val="bottom"/>
          </w:tcPr>
          <w:p w:rsidR="00AE7D50" w:rsidRPr="00AD151D" w:rsidRDefault="00AE7D50" w:rsidP="007D0547">
            <w:pPr>
              <w:jc w:val="center"/>
              <w:rPr>
                <w:sz w:val="15"/>
                <w:szCs w:val="15"/>
              </w:rPr>
            </w:pPr>
            <w:r w:rsidRPr="00AD151D">
              <w:rPr>
                <w:sz w:val="15"/>
                <w:szCs w:val="15"/>
              </w:rPr>
              <w:t>45,394</w:t>
            </w:r>
          </w:p>
        </w:tc>
        <w:tc>
          <w:tcPr>
            <w:tcW w:w="540" w:type="dxa"/>
            <w:noWrap/>
            <w:tcMar>
              <w:left w:w="58" w:type="dxa"/>
              <w:right w:w="58" w:type="dxa"/>
            </w:tcMar>
            <w:vAlign w:val="bottom"/>
          </w:tcPr>
          <w:p w:rsidR="00AE7D50" w:rsidRPr="00AD151D" w:rsidRDefault="00AE7D50" w:rsidP="007D0547">
            <w:pPr>
              <w:jc w:val="center"/>
              <w:rPr>
                <w:sz w:val="15"/>
                <w:szCs w:val="15"/>
              </w:rPr>
            </w:pPr>
            <w:r w:rsidRPr="00AD151D">
              <w:rPr>
                <w:sz w:val="15"/>
                <w:szCs w:val="15"/>
              </w:rPr>
              <w:t>40,191</w:t>
            </w:r>
          </w:p>
        </w:tc>
        <w:tc>
          <w:tcPr>
            <w:tcW w:w="630" w:type="dxa"/>
            <w:noWrap/>
            <w:tcMar>
              <w:left w:w="58" w:type="dxa"/>
              <w:right w:w="58" w:type="dxa"/>
            </w:tcMar>
            <w:vAlign w:val="bottom"/>
          </w:tcPr>
          <w:p w:rsidR="00AE7D50" w:rsidRPr="00AD151D" w:rsidRDefault="00AE7D50" w:rsidP="007D0547">
            <w:pPr>
              <w:jc w:val="center"/>
              <w:rPr>
                <w:sz w:val="15"/>
                <w:szCs w:val="15"/>
              </w:rPr>
            </w:pPr>
            <w:r w:rsidRPr="00AD151D">
              <w:rPr>
                <w:sz w:val="15"/>
                <w:szCs w:val="15"/>
              </w:rPr>
              <w:t>33,526</w:t>
            </w:r>
          </w:p>
        </w:tc>
        <w:tc>
          <w:tcPr>
            <w:tcW w:w="540" w:type="dxa"/>
            <w:noWrap/>
            <w:tcMar>
              <w:left w:w="58" w:type="dxa"/>
              <w:right w:w="58" w:type="dxa"/>
            </w:tcMar>
            <w:vAlign w:val="bottom"/>
          </w:tcPr>
          <w:p w:rsidR="00AE7D50" w:rsidRPr="00AD151D" w:rsidRDefault="00AE7D50" w:rsidP="007D0547">
            <w:pPr>
              <w:jc w:val="center"/>
              <w:rPr>
                <w:sz w:val="15"/>
                <w:szCs w:val="15"/>
              </w:rPr>
            </w:pPr>
            <w:r w:rsidRPr="00AD151D">
              <w:rPr>
                <w:sz w:val="15"/>
                <w:szCs w:val="15"/>
              </w:rPr>
              <w:t>30,062</w:t>
            </w:r>
          </w:p>
        </w:tc>
        <w:tc>
          <w:tcPr>
            <w:tcW w:w="598" w:type="dxa"/>
            <w:noWrap/>
            <w:tcMar>
              <w:left w:w="58" w:type="dxa"/>
              <w:right w:w="58" w:type="dxa"/>
            </w:tcMar>
            <w:vAlign w:val="bottom"/>
          </w:tcPr>
          <w:p w:rsidR="00AE7D50" w:rsidRPr="00AD151D" w:rsidRDefault="00AE7D50" w:rsidP="007D0547">
            <w:pPr>
              <w:jc w:val="center"/>
              <w:rPr>
                <w:sz w:val="15"/>
                <w:szCs w:val="15"/>
              </w:rPr>
            </w:pPr>
            <w:r w:rsidRPr="00AD151D">
              <w:rPr>
                <w:sz w:val="15"/>
                <w:szCs w:val="15"/>
              </w:rPr>
              <w:t>31,453</w:t>
            </w:r>
          </w:p>
        </w:tc>
      </w:tr>
      <w:tr w:rsidR="005C7D93" w:rsidRPr="00AD151D" w:rsidTr="007D0547">
        <w:trPr>
          <w:trHeight w:val="737"/>
        </w:trPr>
        <w:tc>
          <w:tcPr>
            <w:tcW w:w="1170" w:type="dxa"/>
            <w:tcMar>
              <w:left w:w="58" w:type="dxa"/>
              <w:right w:w="58" w:type="dxa"/>
            </w:tcMar>
            <w:vAlign w:val="center"/>
          </w:tcPr>
          <w:p w:rsidR="00AE7D50" w:rsidRPr="00AD151D" w:rsidRDefault="00AE7D50" w:rsidP="007D0547">
            <w:pPr>
              <w:keepNext/>
              <w:keepLines/>
              <w:rPr>
                <w:sz w:val="16"/>
                <w:szCs w:val="16"/>
              </w:rPr>
            </w:pPr>
            <w:r w:rsidRPr="00AD151D">
              <w:rPr>
                <w:sz w:val="16"/>
                <w:szCs w:val="16"/>
              </w:rPr>
              <w:t>CEC Adjustment for Plausibility/ Migrating load</w:t>
            </w:r>
          </w:p>
        </w:tc>
        <w:tc>
          <w:tcPr>
            <w:tcW w:w="630" w:type="dxa"/>
            <w:noWrap/>
            <w:tcMar>
              <w:left w:w="58" w:type="dxa"/>
              <w:right w:w="58" w:type="dxa"/>
            </w:tcMar>
            <w:vAlign w:val="bottom"/>
          </w:tcPr>
          <w:p w:rsidR="00AE7D50" w:rsidRPr="00AD151D" w:rsidRDefault="00AE7D50" w:rsidP="007D0547">
            <w:pPr>
              <w:keepNext/>
              <w:keepLines/>
              <w:rPr>
                <w:sz w:val="16"/>
                <w:szCs w:val="16"/>
              </w:rPr>
            </w:pPr>
            <w:r w:rsidRPr="00AD151D">
              <w:rPr>
                <w:sz w:val="16"/>
                <w:szCs w:val="16"/>
              </w:rPr>
              <w:t>Total</w:t>
            </w:r>
          </w:p>
        </w:tc>
        <w:tc>
          <w:tcPr>
            <w:tcW w:w="630" w:type="dxa"/>
            <w:noWrap/>
            <w:tcMar>
              <w:left w:w="43" w:type="dxa"/>
              <w:right w:w="43" w:type="dxa"/>
            </w:tcMar>
            <w:vAlign w:val="bottom"/>
          </w:tcPr>
          <w:p w:rsidR="00AE7D50" w:rsidRPr="00AD151D" w:rsidRDefault="00AE7D50" w:rsidP="007D0547">
            <w:pPr>
              <w:jc w:val="center"/>
              <w:rPr>
                <w:sz w:val="16"/>
                <w:szCs w:val="16"/>
              </w:rPr>
            </w:pPr>
            <w:r w:rsidRPr="00AD151D">
              <w:rPr>
                <w:sz w:val="16"/>
                <w:szCs w:val="16"/>
              </w:rPr>
              <w:t>(0)</w:t>
            </w:r>
          </w:p>
        </w:tc>
        <w:tc>
          <w:tcPr>
            <w:tcW w:w="630" w:type="dxa"/>
            <w:noWrap/>
            <w:tcMar>
              <w:left w:w="43" w:type="dxa"/>
              <w:right w:w="43" w:type="dxa"/>
            </w:tcMar>
            <w:vAlign w:val="bottom"/>
          </w:tcPr>
          <w:p w:rsidR="00AE7D50" w:rsidRPr="00AD151D" w:rsidRDefault="00AE7D50" w:rsidP="007D0547">
            <w:pPr>
              <w:jc w:val="center"/>
              <w:rPr>
                <w:sz w:val="16"/>
                <w:szCs w:val="16"/>
              </w:rPr>
            </w:pPr>
            <w:r w:rsidRPr="00AD151D">
              <w:rPr>
                <w:sz w:val="16"/>
                <w:szCs w:val="16"/>
              </w:rPr>
              <w:t>28</w:t>
            </w:r>
          </w:p>
        </w:tc>
        <w:tc>
          <w:tcPr>
            <w:tcW w:w="540" w:type="dxa"/>
            <w:noWrap/>
            <w:tcMar>
              <w:left w:w="43" w:type="dxa"/>
              <w:right w:w="43" w:type="dxa"/>
            </w:tcMar>
            <w:vAlign w:val="bottom"/>
          </w:tcPr>
          <w:p w:rsidR="00AE7D50" w:rsidRPr="00AD151D" w:rsidRDefault="00AE7D50" w:rsidP="007D0547">
            <w:pPr>
              <w:jc w:val="center"/>
              <w:rPr>
                <w:sz w:val="16"/>
                <w:szCs w:val="16"/>
              </w:rPr>
            </w:pPr>
            <w:r w:rsidRPr="00AD151D">
              <w:rPr>
                <w:sz w:val="16"/>
                <w:szCs w:val="16"/>
              </w:rPr>
              <w:t>38</w:t>
            </w:r>
          </w:p>
        </w:tc>
        <w:tc>
          <w:tcPr>
            <w:tcW w:w="540" w:type="dxa"/>
            <w:noWrap/>
            <w:tcMar>
              <w:left w:w="43" w:type="dxa"/>
              <w:right w:w="43" w:type="dxa"/>
            </w:tcMar>
            <w:vAlign w:val="bottom"/>
          </w:tcPr>
          <w:p w:rsidR="00AE7D50" w:rsidRPr="00AD151D" w:rsidRDefault="00AE7D50" w:rsidP="007D0547">
            <w:pPr>
              <w:jc w:val="center"/>
              <w:rPr>
                <w:sz w:val="16"/>
                <w:szCs w:val="16"/>
              </w:rPr>
            </w:pPr>
            <w:r w:rsidRPr="00AD151D">
              <w:rPr>
                <w:sz w:val="16"/>
                <w:szCs w:val="16"/>
              </w:rPr>
              <w:t>39</w:t>
            </w:r>
          </w:p>
        </w:tc>
        <w:tc>
          <w:tcPr>
            <w:tcW w:w="540" w:type="dxa"/>
            <w:noWrap/>
            <w:tcMar>
              <w:left w:w="43" w:type="dxa"/>
              <w:right w:w="43" w:type="dxa"/>
            </w:tcMar>
            <w:vAlign w:val="bottom"/>
          </w:tcPr>
          <w:p w:rsidR="00AE7D50" w:rsidRPr="00AD151D" w:rsidRDefault="00AE7D50" w:rsidP="007D0547">
            <w:pPr>
              <w:jc w:val="center"/>
              <w:rPr>
                <w:sz w:val="16"/>
                <w:szCs w:val="16"/>
              </w:rPr>
            </w:pPr>
            <w:r w:rsidRPr="00AD151D">
              <w:rPr>
                <w:sz w:val="16"/>
                <w:szCs w:val="16"/>
              </w:rPr>
              <w:t>161</w:t>
            </w:r>
          </w:p>
        </w:tc>
        <w:tc>
          <w:tcPr>
            <w:tcW w:w="540" w:type="dxa"/>
            <w:noWrap/>
            <w:tcMar>
              <w:left w:w="43" w:type="dxa"/>
              <w:right w:w="43" w:type="dxa"/>
            </w:tcMar>
            <w:vAlign w:val="bottom"/>
          </w:tcPr>
          <w:p w:rsidR="00AE7D50" w:rsidRPr="00AD151D" w:rsidRDefault="00AE7D50" w:rsidP="007D0547">
            <w:pPr>
              <w:jc w:val="center"/>
              <w:rPr>
                <w:sz w:val="16"/>
                <w:szCs w:val="16"/>
              </w:rPr>
            </w:pPr>
            <w:r w:rsidRPr="00AD151D">
              <w:rPr>
                <w:sz w:val="16"/>
                <w:szCs w:val="16"/>
              </w:rPr>
              <w:t>210</w:t>
            </w:r>
          </w:p>
        </w:tc>
        <w:tc>
          <w:tcPr>
            <w:tcW w:w="540" w:type="dxa"/>
            <w:noWrap/>
            <w:tcMar>
              <w:left w:w="43" w:type="dxa"/>
              <w:right w:w="43" w:type="dxa"/>
            </w:tcMar>
            <w:vAlign w:val="bottom"/>
          </w:tcPr>
          <w:p w:rsidR="00AE7D50" w:rsidRPr="00AD151D" w:rsidRDefault="00AE7D50" w:rsidP="007D0547">
            <w:pPr>
              <w:jc w:val="center"/>
              <w:rPr>
                <w:sz w:val="16"/>
                <w:szCs w:val="16"/>
              </w:rPr>
            </w:pPr>
            <w:r w:rsidRPr="00AD151D">
              <w:rPr>
                <w:sz w:val="16"/>
                <w:szCs w:val="16"/>
              </w:rPr>
              <w:t>1,381</w:t>
            </w:r>
          </w:p>
        </w:tc>
        <w:tc>
          <w:tcPr>
            <w:tcW w:w="630" w:type="dxa"/>
            <w:noWrap/>
            <w:tcMar>
              <w:left w:w="43" w:type="dxa"/>
              <w:right w:w="43" w:type="dxa"/>
            </w:tcMar>
            <w:vAlign w:val="bottom"/>
          </w:tcPr>
          <w:p w:rsidR="00AE7D50" w:rsidRPr="00AD151D" w:rsidRDefault="00AE7D50" w:rsidP="007D0547">
            <w:pPr>
              <w:jc w:val="center"/>
              <w:rPr>
                <w:sz w:val="16"/>
                <w:szCs w:val="16"/>
              </w:rPr>
            </w:pPr>
            <w:r w:rsidRPr="00AD151D">
              <w:rPr>
                <w:sz w:val="16"/>
                <w:szCs w:val="16"/>
              </w:rPr>
              <w:t>115</w:t>
            </w:r>
          </w:p>
        </w:tc>
        <w:tc>
          <w:tcPr>
            <w:tcW w:w="540" w:type="dxa"/>
            <w:noWrap/>
            <w:tcMar>
              <w:left w:w="43" w:type="dxa"/>
              <w:right w:w="43" w:type="dxa"/>
            </w:tcMar>
            <w:vAlign w:val="bottom"/>
          </w:tcPr>
          <w:p w:rsidR="00AE7D50" w:rsidRPr="00AD151D" w:rsidRDefault="00AE7D50" w:rsidP="007D0547">
            <w:pPr>
              <w:jc w:val="center"/>
              <w:rPr>
                <w:sz w:val="16"/>
                <w:szCs w:val="16"/>
              </w:rPr>
            </w:pPr>
            <w:r w:rsidRPr="00AD151D">
              <w:rPr>
                <w:sz w:val="16"/>
                <w:szCs w:val="16"/>
              </w:rPr>
              <w:t>1,256</w:t>
            </w:r>
          </w:p>
        </w:tc>
        <w:tc>
          <w:tcPr>
            <w:tcW w:w="630" w:type="dxa"/>
            <w:noWrap/>
            <w:tcMar>
              <w:left w:w="43" w:type="dxa"/>
              <w:right w:w="43" w:type="dxa"/>
            </w:tcMar>
            <w:vAlign w:val="bottom"/>
          </w:tcPr>
          <w:p w:rsidR="00AE7D50" w:rsidRPr="00AD151D" w:rsidRDefault="00AE7D50" w:rsidP="007D0547">
            <w:pPr>
              <w:jc w:val="center"/>
              <w:rPr>
                <w:sz w:val="16"/>
                <w:szCs w:val="16"/>
              </w:rPr>
            </w:pPr>
            <w:r w:rsidRPr="00AD151D">
              <w:rPr>
                <w:sz w:val="16"/>
                <w:szCs w:val="16"/>
              </w:rPr>
              <w:t>42</w:t>
            </w:r>
          </w:p>
        </w:tc>
        <w:tc>
          <w:tcPr>
            <w:tcW w:w="540" w:type="dxa"/>
            <w:noWrap/>
            <w:tcMar>
              <w:left w:w="43" w:type="dxa"/>
              <w:right w:w="43" w:type="dxa"/>
            </w:tcMar>
            <w:vAlign w:val="bottom"/>
          </w:tcPr>
          <w:p w:rsidR="00AE7D50" w:rsidRPr="00AD151D" w:rsidRDefault="00AE7D50" w:rsidP="007D0547">
            <w:pPr>
              <w:jc w:val="center"/>
              <w:rPr>
                <w:sz w:val="16"/>
                <w:szCs w:val="16"/>
              </w:rPr>
            </w:pPr>
            <w:r w:rsidRPr="00AD151D">
              <w:rPr>
                <w:sz w:val="16"/>
                <w:szCs w:val="16"/>
              </w:rPr>
              <w:t>33</w:t>
            </w:r>
          </w:p>
        </w:tc>
        <w:tc>
          <w:tcPr>
            <w:tcW w:w="598" w:type="dxa"/>
            <w:noWrap/>
            <w:tcMar>
              <w:left w:w="43" w:type="dxa"/>
              <w:right w:w="43" w:type="dxa"/>
            </w:tcMar>
            <w:vAlign w:val="bottom"/>
          </w:tcPr>
          <w:p w:rsidR="00AE7D50" w:rsidRPr="00AD151D" w:rsidRDefault="00AE7D50" w:rsidP="007D0547">
            <w:pPr>
              <w:jc w:val="center"/>
              <w:rPr>
                <w:sz w:val="16"/>
                <w:szCs w:val="16"/>
              </w:rPr>
            </w:pPr>
            <w:r w:rsidRPr="00AD151D">
              <w:rPr>
                <w:sz w:val="16"/>
                <w:szCs w:val="16"/>
              </w:rPr>
              <w:t>66</w:t>
            </w:r>
          </w:p>
        </w:tc>
      </w:tr>
      <w:tr w:rsidR="005C7D93" w:rsidRPr="00AD151D" w:rsidTr="00691252">
        <w:trPr>
          <w:trHeight w:val="199"/>
        </w:trPr>
        <w:tc>
          <w:tcPr>
            <w:tcW w:w="1170" w:type="dxa"/>
            <w:tcMar>
              <w:left w:w="58" w:type="dxa"/>
              <w:right w:w="58" w:type="dxa"/>
            </w:tcMar>
            <w:vAlign w:val="center"/>
          </w:tcPr>
          <w:p w:rsidR="00AE7D50" w:rsidRPr="00AD151D" w:rsidRDefault="00AE7D50" w:rsidP="007D0547">
            <w:pPr>
              <w:keepNext/>
              <w:keepLines/>
              <w:rPr>
                <w:sz w:val="16"/>
                <w:szCs w:val="16"/>
              </w:rPr>
            </w:pPr>
            <w:r w:rsidRPr="00AD151D">
              <w:rPr>
                <w:sz w:val="16"/>
                <w:szCs w:val="16"/>
              </w:rPr>
              <w:t>EE/DG Adjustment</w:t>
            </w:r>
          </w:p>
        </w:tc>
        <w:tc>
          <w:tcPr>
            <w:tcW w:w="630" w:type="dxa"/>
            <w:noWrap/>
            <w:tcMar>
              <w:left w:w="58" w:type="dxa"/>
              <w:right w:w="58" w:type="dxa"/>
            </w:tcMar>
            <w:vAlign w:val="bottom"/>
          </w:tcPr>
          <w:p w:rsidR="00AE7D50" w:rsidRPr="00AD151D" w:rsidRDefault="00AE7D50" w:rsidP="007D0547">
            <w:pPr>
              <w:keepNext/>
              <w:keepLines/>
              <w:rPr>
                <w:sz w:val="16"/>
                <w:szCs w:val="16"/>
              </w:rPr>
            </w:pPr>
            <w:r w:rsidRPr="00AD151D">
              <w:rPr>
                <w:sz w:val="16"/>
                <w:szCs w:val="16"/>
              </w:rPr>
              <w:t>Total</w:t>
            </w:r>
          </w:p>
        </w:tc>
        <w:tc>
          <w:tcPr>
            <w:tcW w:w="630" w:type="dxa"/>
            <w:noWrap/>
            <w:tcMar>
              <w:left w:w="43" w:type="dxa"/>
              <w:right w:w="43" w:type="dxa"/>
            </w:tcMar>
            <w:vAlign w:val="bottom"/>
          </w:tcPr>
          <w:p w:rsidR="00AE7D50" w:rsidRPr="00AD151D" w:rsidRDefault="00AE7D50" w:rsidP="007D0547">
            <w:pPr>
              <w:jc w:val="center"/>
              <w:rPr>
                <w:sz w:val="16"/>
                <w:szCs w:val="16"/>
              </w:rPr>
            </w:pPr>
            <w:r w:rsidRPr="00AD151D">
              <w:rPr>
                <w:sz w:val="16"/>
                <w:szCs w:val="16"/>
              </w:rPr>
              <w:t>(29)</w:t>
            </w:r>
          </w:p>
        </w:tc>
        <w:tc>
          <w:tcPr>
            <w:tcW w:w="630" w:type="dxa"/>
            <w:noWrap/>
            <w:tcMar>
              <w:left w:w="43" w:type="dxa"/>
              <w:right w:w="43" w:type="dxa"/>
            </w:tcMar>
            <w:vAlign w:val="bottom"/>
          </w:tcPr>
          <w:p w:rsidR="00AE7D50" w:rsidRPr="00AD151D" w:rsidRDefault="00AE7D50" w:rsidP="007D0547">
            <w:pPr>
              <w:jc w:val="center"/>
              <w:rPr>
                <w:sz w:val="16"/>
                <w:szCs w:val="16"/>
              </w:rPr>
            </w:pPr>
            <w:r w:rsidRPr="00AD151D">
              <w:rPr>
                <w:sz w:val="16"/>
                <w:szCs w:val="16"/>
              </w:rPr>
              <w:t>(22)</w:t>
            </w:r>
          </w:p>
        </w:tc>
        <w:tc>
          <w:tcPr>
            <w:tcW w:w="540" w:type="dxa"/>
            <w:noWrap/>
            <w:tcMar>
              <w:left w:w="43" w:type="dxa"/>
              <w:right w:w="43" w:type="dxa"/>
            </w:tcMar>
            <w:vAlign w:val="bottom"/>
          </w:tcPr>
          <w:p w:rsidR="00AE7D50" w:rsidRPr="00AD151D" w:rsidRDefault="00AE7D50" w:rsidP="007D0547">
            <w:pPr>
              <w:jc w:val="center"/>
              <w:rPr>
                <w:sz w:val="16"/>
                <w:szCs w:val="16"/>
              </w:rPr>
            </w:pPr>
            <w:r w:rsidRPr="00AD151D">
              <w:rPr>
                <w:sz w:val="16"/>
                <w:szCs w:val="16"/>
              </w:rPr>
              <w:t>(23)</w:t>
            </w:r>
          </w:p>
        </w:tc>
        <w:tc>
          <w:tcPr>
            <w:tcW w:w="540" w:type="dxa"/>
            <w:noWrap/>
            <w:tcMar>
              <w:left w:w="43" w:type="dxa"/>
              <w:right w:w="43" w:type="dxa"/>
            </w:tcMar>
            <w:vAlign w:val="bottom"/>
          </w:tcPr>
          <w:p w:rsidR="00AE7D50" w:rsidRPr="00AD151D" w:rsidRDefault="00AE7D50" w:rsidP="007D0547">
            <w:pPr>
              <w:jc w:val="center"/>
              <w:rPr>
                <w:sz w:val="16"/>
                <w:szCs w:val="16"/>
              </w:rPr>
            </w:pPr>
            <w:r w:rsidRPr="00AD151D">
              <w:rPr>
                <w:sz w:val="16"/>
                <w:szCs w:val="16"/>
              </w:rPr>
              <w:t>(26)</w:t>
            </w:r>
          </w:p>
        </w:tc>
        <w:tc>
          <w:tcPr>
            <w:tcW w:w="540" w:type="dxa"/>
            <w:noWrap/>
            <w:tcMar>
              <w:left w:w="43" w:type="dxa"/>
              <w:right w:w="43" w:type="dxa"/>
            </w:tcMar>
            <w:vAlign w:val="bottom"/>
          </w:tcPr>
          <w:p w:rsidR="00AE7D50" w:rsidRPr="00AD151D" w:rsidRDefault="00AE7D50" w:rsidP="007D0547">
            <w:pPr>
              <w:jc w:val="center"/>
              <w:rPr>
                <w:sz w:val="16"/>
                <w:szCs w:val="16"/>
              </w:rPr>
            </w:pPr>
            <w:r w:rsidRPr="00AD151D">
              <w:rPr>
                <w:sz w:val="16"/>
                <w:szCs w:val="16"/>
              </w:rPr>
              <w:t>(30)</w:t>
            </w:r>
          </w:p>
        </w:tc>
        <w:tc>
          <w:tcPr>
            <w:tcW w:w="540" w:type="dxa"/>
            <w:noWrap/>
            <w:tcMar>
              <w:left w:w="43" w:type="dxa"/>
              <w:right w:w="43" w:type="dxa"/>
            </w:tcMar>
            <w:vAlign w:val="bottom"/>
          </w:tcPr>
          <w:p w:rsidR="00AE7D50" w:rsidRPr="00AD151D" w:rsidRDefault="00AE7D50" w:rsidP="007D0547">
            <w:pPr>
              <w:jc w:val="center"/>
              <w:rPr>
                <w:sz w:val="16"/>
                <w:szCs w:val="16"/>
              </w:rPr>
            </w:pPr>
            <w:r w:rsidRPr="00AD151D">
              <w:rPr>
                <w:sz w:val="16"/>
                <w:szCs w:val="16"/>
              </w:rPr>
              <w:t>(32)</w:t>
            </w:r>
          </w:p>
        </w:tc>
        <w:tc>
          <w:tcPr>
            <w:tcW w:w="540" w:type="dxa"/>
            <w:noWrap/>
            <w:tcMar>
              <w:left w:w="43" w:type="dxa"/>
              <w:right w:w="43" w:type="dxa"/>
            </w:tcMar>
            <w:vAlign w:val="bottom"/>
          </w:tcPr>
          <w:p w:rsidR="00AE7D50" w:rsidRPr="00AD151D" w:rsidRDefault="00AE7D50" w:rsidP="007D0547">
            <w:pPr>
              <w:jc w:val="center"/>
              <w:rPr>
                <w:sz w:val="16"/>
                <w:szCs w:val="16"/>
              </w:rPr>
            </w:pPr>
            <w:r w:rsidRPr="00AD151D">
              <w:rPr>
                <w:sz w:val="16"/>
                <w:szCs w:val="16"/>
              </w:rPr>
              <w:t>(36)</w:t>
            </w:r>
          </w:p>
        </w:tc>
        <w:tc>
          <w:tcPr>
            <w:tcW w:w="630" w:type="dxa"/>
            <w:noWrap/>
            <w:tcMar>
              <w:left w:w="43" w:type="dxa"/>
              <w:right w:w="43" w:type="dxa"/>
            </w:tcMar>
            <w:vAlign w:val="bottom"/>
          </w:tcPr>
          <w:p w:rsidR="00AE7D50" w:rsidRPr="00AD151D" w:rsidRDefault="00AE7D50" w:rsidP="007D0547">
            <w:pPr>
              <w:jc w:val="center"/>
              <w:rPr>
                <w:sz w:val="16"/>
                <w:szCs w:val="16"/>
              </w:rPr>
            </w:pPr>
            <w:r w:rsidRPr="00AD151D">
              <w:rPr>
                <w:sz w:val="16"/>
                <w:szCs w:val="16"/>
              </w:rPr>
              <w:t>(38)</w:t>
            </w:r>
          </w:p>
        </w:tc>
        <w:tc>
          <w:tcPr>
            <w:tcW w:w="540" w:type="dxa"/>
            <w:noWrap/>
            <w:tcMar>
              <w:left w:w="43" w:type="dxa"/>
              <w:right w:w="43" w:type="dxa"/>
            </w:tcMar>
            <w:vAlign w:val="bottom"/>
          </w:tcPr>
          <w:p w:rsidR="00AE7D50" w:rsidRPr="00AD151D" w:rsidRDefault="00AE7D50" w:rsidP="007D0547">
            <w:pPr>
              <w:jc w:val="center"/>
              <w:rPr>
                <w:sz w:val="16"/>
                <w:szCs w:val="16"/>
              </w:rPr>
            </w:pPr>
            <w:r w:rsidRPr="00AD151D">
              <w:rPr>
                <w:sz w:val="16"/>
                <w:szCs w:val="16"/>
              </w:rPr>
              <w:t>(35)</w:t>
            </w:r>
          </w:p>
        </w:tc>
        <w:tc>
          <w:tcPr>
            <w:tcW w:w="630" w:type="dxa"/>
            <w:noWrap/>
            <w:tcMar>
              <w:left w:w="43" w:type="dxa"/>
              <w:right w:w="43" w:type="dxa"/>
            </w:tcMar>
            <w:vAlign w:val="bottom"/>
          </w:tcPr>
          <w:p w:rsidR="00AE7D50" w:rsidRPr="00AD151D" w:rsidRDefault="00AE7D50" w:rsidP="007D0547">
            <w:pPr>
              <w:jc w:val="center"/>
              <w:rPr>
                <w:sz w:val="16"/>
                <w:szCs w:val="16"/>
              </w:rPr>
            </w:pPr>
            <w:r w:rsidRPr="00AD151D">
              <w:rPr>
                <w:sz w:val="16"/>
                <w:szCs w:val="16"/>
              </w:rPr>
              <w:t>(32)</w:t>
            </w:r>
          </w:p>
        </w:tc>
        <w:tc>
          <w:tcPr>
            <w:tcW w:w="540" w:type="dxa"/>
            <w:noWrap/>
            <w:tcMar>
              <w:left w:w="43" w:type="dxa"/>
              <w:right w:w="43" w:type="dxa"/>
            </w:tcMar>
            <w:vAlign w:val="bottom"/>
          </w:tcPr>
          <w:p w:rsidR="00AE7D50" w:rsidRPr="00AD151D" w:rsidRDefault="00AE7D50" w:rsidP="007D0547">
            <w:pPr>
              <w:jc w:val="center"/>
              <w:rPr>
                <w:sz w:val="16"/>
                <w:szCs w:val="16"/>
              </w:rPr>
            </w:pPr>
            <w:r w:rsidRPr="00AD151D">
              <w:rPr>
                <w:sz w:val="16"/>
                <w:szCs w:val="16"/>
              </w:rPr>
              <w:t>(28)</w:t>
            </w:r>
          </w:p>
        </w:tc>
        <w:tc>
          <w:tcPr>
            <w:tcW w:w="598" w:type="dxa"/>
            <w:noWrap/>
            <w:tcMar>
              <w:left w:w="43" w:type="dxa"/>
              <w:right w:w="43" w:type="dxa"/>
            </w:tcMar>
            <w:vAlign w:val="bottom"/>
          </w:tcPr>
          <w:p w:rsidR="00AE7D50" w:rsidRPr="00AD151D" w:rsidRDefault="00AE7D50" w:rsidP="007D0547">
            <w:pPr>
              <w:jc w:val="center"/>
              <w:rPr>
                <w:sz w:val="16"/>
                <w:szCs w:val="16"/>
              </w:rPr>
            </w:pPr>
            <w:r w:rsidRPr="00AD151D">
              <w:rPr>
                <w:sz w:val="16"/>
                <w:szCs w:val="16"/>
              </w:rPr>
              <w:t>(29)</w:t>
            </w:r>
          </w:p>
        </w:tc>
      </w:tr>
      <w:tr w:rsidR="005C7D93" w:rsidRPr="00AD151D" w:rsidTr="00691252">
        <w:trPr>
          <w:trHeight w:val="260"/>
        </w:trPr>
        <w:tc>
          <w:tcPr>
            <w:tcW w:w="1170" w:type="dxa"/>
            <w:tcMar>
              <w:left w:w="58" w:type="dxa"/>
              <w:right w:w="58" w:type="dxa"/>
            </w:tcMar>
            <w:vAlign w:val="center"/>
          </w:tcPr>
          <w:p w:rsidR="00AE7D50" w:rsidRPr="00AD151D" w:rsidRDefault="00AE7D50" w:rsidP="007D0547">
            <w:pPr>
              <w:keepNext/>
              <w:keepLines/>
              <w:rPr>
                <w:sz w:val="16"/>
                <w:szCs w:val="16"/>
              </w:rPr>
            </w:pPr>
            <w:r w:rsidRPr="00AD151D">
              <w:rPr>
                <w:sz w:val="16"/>
                <w:szCs w:val="16"/>
              </w:rPr>
              <w:t>Pro rata adjustment to match CEC forecast within 1%</w:t>
            </w:r>
          </w:p>
        </w:tc>
        <w:tc>
          <w:tcPr>
            <w:tcW w:w="630" w:type="dxa"/>
            <w:noWrap/>
            <w:tcMar>
              <w:left w:w="58" w:type="dxa"/>
              <w:right w:w="58" w:type="dxa"/>
            </w:tcMar>
            <w:vAlign w:val="bottom"/>
          </w:tcPr>
          <w:p w:rsidR="00AE7D50" w:rsidRPr="00AD151D" w:rsidRDefault="00AE7D50" w:rsidP="007D0547">
            <w:pPr>
              <w:keepNext/>
              <w:keepLines/>
              <w:rPr>
                <w:sz w:val="16"/>
                <w:szCs w:val="16"/>
              </w:rPr>
            </w:pPr>
            <w:r w:rsidRPr="00AD151D">
              <w:rPr>
                <w:sz w:val="16"/>
                <w:szCs w:val="16"/>
              </w:rPr>
              <w:t>Total</w:t>
            </w:r>
          </w:p>
        </w:tc>
        <w:tc>
          <w:tcPr>
            <w:tcW w:w="630" w:type="dxa"/>
            <w:noWrap/>
            <w:tcMar>
              <w:left w:w="43" w:type="dxa"/>
              <w:right w:w="43" w:type="dxa"/>
            </w:tcMar>
            <w:vAlign w:val="bottom"/>
          </w:tcPr>
          <w:p w:rsidR="00AE7D50" w:rsidRPr="00AD151D" w:rsidRDefault="00AE7D50" w:rsidP="007D0547">
            <w:pPr>
              <w:jc w:val="center"/>
              <w:rPr>
                <w:sz w:val="16"/>
                <w:szCs w:val="16"/>
              </w:rPr>
            </w:pPr>
            <w:r w:rsidRPr="00AD151D">
              <w:rPr>
                <w:sz w:val="16"/>
                <w:szCs w:val="16"/>
              </w:rPr>
              <w:t>10</w:t>
            </w:r>
          </w:p>
        </w:tc>
        <w:tc>
          <w:tcPr>
            <w:tcW w:w="630" w:type="dxa"/>
            <w:noWrap/>
            <w:tcMar>
              <w:left w:w="43" w:type="dxa"/>
              <w:right w:w="43" w:type="dxa"/>
            </w:tcMar>
            <w:vAlign w:val="bottom"/>
          </w:tcPr>
          <w:p w:rsidR="00AE7D50" w:rsidRPr="00AD151D" w:rsidRDefault="00AE7D50" w:rsidP="007D0547">
            <w:pPr>
              <w:jc w:val="center"/>
              <w:rPr>
                <w:sz w:val="16"/>
                <w:szCs w:val="16"/>
              </w:rPr>
            </w:pPr>
            <w:r w:rsidRPr="00AD151D">
              <w:rPr>
                <w:sz w:val="16"/>
                <w:szCs w:val="16"/>
              </w:rPr>
              <w:t>41</w:t>
            </w:r>
          </w:p>
        </w:tc>
        <w:tc>
          <w:tcPr>
            <w:tcW w:w="540" w:type="dxa"/>
            <w:noWrap/>
            <w:tcMar>
              <w:left w:w="43" w:type="dxa"/>
              <w:right w:w="43" w:type="dxa"/>
            </w:tcMar>
            <w:vAlign w:val="bottom"/>
          </w:tcPr>
          <w:p w:rsidR="00AE7D50" w:rsidRPr="00AD151D" w:rsidRDefault="00AE7D50" w:rsidP="007D0547">
            <w:pPr>
              <w:jc w:val="center"/>
              <w:rPr>
                <w:sz w:val="16"/>
                <w:szCs w:val="16"/>
              </w:rPr>
            </w:pPr>
            <w:r w:rsidRPr="00AD151D">
              <w:rPr>
                <w:sz w:val="16"/>
                <w:szCs w:val="16"/>
              </w:rPr>
              <w:t>(10)</w:t>
            </w:r>
          </w:p>
        </w:tc>
        <w:tc>
          <w:tcPr>
            <w:tcW w:w="540" w:type="dxa"/>
            <w:noWrap/>
            <w:tcMar>
              <w:left w:w="43" w:type="dxa"/>
              <w:right w:w="43" w:type="dxa"/>
            </w:tcMar>
            <w:vAlign w:val="bottom"/>
          </w:tcPr>
          <w:p w:rsidR="00AE7D50" w:rsidRPr="00AD151D" w:rsidRDefault="00AE7D50" w:rsidP="007D0547">
            <w:pPr>
              <w:jc w:val="center"/>
              <w:rPr>
                <w:sz w:val="16"/>
                <w:szCs w:val="16"/>
              </w:rPr>
            </w:pPr>
            <w:r w:rsidRPr="00AD151D">
              <w:rPr>
                <w:sz w:val="16"/>
                <w:szCs w:val="16"/>
              </w:rPr>
              <w:t>53</w:t>
            </w:r>
          </w:p>
        </w:tc>
        <w:tc>
          <w:tcPr>
            <w:tcW w:w="540" w:type="dxa"/>
            <w:noWrap/>
            <w:tcMar>
              <w:left w:w="43" w:type="dxa"/>
              <w:right w:w="43" w:type="dxa"/>
            </w:tcMar>
            <w:vAlign w:val="bottom"/>
          </w:tcPr>
          <w:p w:rsidR="00AE7D50" w:rsidRPr="00AD151D" w:rsidRDefault="00AE7D50" w:rsidP="007D0547">
            <w:pPr>
              <w:jc w:val="center"/>
              <w:rPr>
                <w:sz w:val="16"/>
                <w:szCs w:val="16"/>
              </w:rPr>
            </w:pPr>
            <w:r w:rsidRPr="00AD151D">
              <w:rPr>
                <w:sz w:val="16"/>
                <w:szCs w:val="16"/>
              </w:rPr>
              <w:t>142</w:t>
            </w:r>
          </w:p>
        </w:tc>
        <w:tc>
          <w:tcPr>
            <w:tcW w:w="540" w:type="dxa"/>
            <w:noWrap/>
            <w:tcMar>
              <w:left w:w="43" w:type="dxa"/>
              <w:right w:w="43" w:type="dxa"/>
            </w:tcMar>
            <w:vAlign w:val="bottom"/>
          </w:tcPr>
          <w:p w:rsidR="00AE7D50" w:rsidRPr="00AD151D" w:rsidRDefault="00AE7D50" w:rsidP="007D0547">
            <w:pPr>
              <w:jc w:val="center"/>
              <w:rPr>
                <w:sz w:val="16"/>
                <w:szCs w:val="16"/>
              </w:rPr>
            </w:pPr>
            <w:r w:rsidRPr="00AD151D">
              <w:rPr>
                <w:sz w:val="16"/>
                <w:szCs w:val="16"/>
              </w:rPr>
              <w:t>145</w:t>
            </w:r>
          </w:p>
        </w:tc>
        <w:tc>
          <w:tcPr>
            <w:tcW w:w="540" w:type="dxa"/>
            <w:noWrap/>
            <w:tcMar>
              <w:left w:w="43" w:type="dxa"/>
              <w:right w:w="43" w:type="dxa"/>
            </w:tcMar>
            <w:vAlign w:val="bottom"/>
          </w:tcPr>
          <w:p w:rsidR="00AE7D50" w:rsidRPr="00AD151D" w:rsidRDefault="00AE7D50" w:rsidP="007D0547">
            <w:pPr>
              <w:jc w:val="center"/>
              <w:rPr>
                <w:sz w:val="16"/>
                <w:szCs w:val="16"/>
              </w:rPr>
            </w:pPr>
            <w:r w:rsidRPr="00AD151D">
              <w:rPr>
                <w:sz w:val="16"/>
                <w:szCs w:val="16"/>
              </w:rPr>
              <w:t>119</w:t>
            </w:r>
          </w:p>
        </w:tc>
        <w:tc>
          <w:tcPr>
            <w:tcW w:w="630" w:type="dxa"/>
            <w:noWrap/>
            <w:tcMar>
              <w:left w:w="43" w:type="dxa"/>
              <w:right w:w="43" w:type="dxa"/>
            </w:tcMar>
            <w:vAlign w:val="bottom"/>
          </w:tcPr>
          <w:p w:rsidR="00AE7D50" w:rsidRPr="00AD151D" w:rsidRDefault="00AE7D50" w:rsidP="007D0547">
            <w:pPr>
              <w:jc w:val="center"/>
              <w:rPr>
                <w:sz w:val="16"/>
                <w:szCs w:val="16"/>
              </w:rPr>
            </w:pPr>
            <w:r w:rsidRPr="00AD151D">
              <w:rPr>
                <w:sz w:val="16"/>
                <w:szCs w:val="16"/>
              </w:rPr>
              <w:t>239</w:t>
            </w:r>
          </w:p>
        </w:tc>
        <w:tc>
          <w:tcPr>
            <w:tcW w:w="540" w:type="dxa"/>
            <w:noWrap/>
            <w:tcMar>
              <w:left w:w="43" w:type="dxa"/>
              <w:right w:w="43" w:type="dxa"/>
            </w:tcMar>
            <w:vAlign w:val="bottom"/>
          </w:tcPr>
          <w:p w:rsidR="00AE7D50" w:rsidRPr="00AD151D" w:rsidRDefault="00AE7D50" w:rsidP="007D0547">
            <w:pPr>
              <w:jc w:val="center"/>
              <w:rPr>
                <w:sz w:val="16"/>
                <w:szCs w:val="16"/>
              </w:rPr>
            </w:pPr>
            <w:r w:rsidRPr="00AD151D">
              <w:rPr>
                <w:sz w:val="16"/>
                <w:szCs w:val="16"/>
              </w:rPr>
              <w:t>130</w:t>
            </w:r>
          </w:p>
        </w:tc>
        <w:tc>
          <w:tcPr>
            <w:tcW w:w="630" w:type="dxa"/>
            <w:noWrap/>
            <w:tcMar>
              <w:left w:w="43" w:type="dxa"/>
              <w:right w:w="43" w:type="dxa"/>
            </w:tcMar>
            <w:vAlign w:val="bottom"/>
          </w:tcPr>
          <w:p w:rsidR="00AE7D50" w:rsidRPr="00AD151D" w:rsidRDefault="00AE7D50" w:rsidP="007D0547">
            <w:pPr>
              <w:jc w:val="center"/>
              <w:rPr>
                <w:sz w:val="16"/>
                <w:szCs w:val="16"/>
              </w:rPr>
            </w:pPr>
            <w:r w:rsidRPr="00AD151D">
              <w:rPr>
                <w:sz w:val="16"/>
                <w:szCs w:val="16"/>
              </w:rPr>
              <w:t>12</w:t>
            </w:r>
          </w:p>
        </w:tc>
        <w:tc>
          <w:tcPr>
            <w:tcW w:w="540" w:type="dxa"/>
            <w:noWrap/>
            <w:tcMar>
              <w:left w:w="43" w:type="dxa"/>
              <w:right w:w="43" w:type="dxa"/>
            </w:tcMar>
            <w:vAlign w:val="bottom"/>
          </w:tcPr>
          <w:p w:rsidR="00AE7D50" w:rsidRPr="00AD151D" w:rsidRDefault="00AE7D50" w:rsidP="007D0547">
            <w:pPr>
              <w:jc w:val="center"/>
              <w:rPr>
                <w:sz w:val="16"/>
                <w:szCs w:val="16"/>
              </w:rPr>
            </w:pPr>
            <w:r w:rsidRPr="00AD151D">
              <w:rPr>
                <w:sz w:val="16"/>
                <w:szCs w:val="16"/>
              </w:rPr>
              <w:t>81</w:t>
            </w:r>
          </w:p>
        </w:tc>
        <w:tc>
          <w:tcPr>
            <w:tcW w:w="598" w:type="dxa"/>
            <w:noWrap/>
            <w:tcMar>
              <w:left w:w="43" w:type="dxa"/>
              <w:right w:w="43" w:type="dxa"/>
            </w:tcMar>
            <w:vAlign w:val="bottom"/>
          </w:tcPr>
          <w:p w:rsidR="00AE7D50" w:rsidRPr="00AD151D" w:rsidRDefault="00AE7D50" w:rsidP="007D0547">
            <w:pPr>
              <w:jc w:val="center"/>
              <w:rPr>
                <w:sz w:val="16"/>
                <w:szCs w:val="16"/>
              </w:rPr>
            </w:pPr>
            <w:r w:rsidRPr="00AD151D">
              <w:rPr>
                <w:sz w:val="16"/>
                <w:szCs w:val="16"/>
              </w:rPr>
              <w:t>149</w:t>
            </w:r>
          </w:p>
        </w:tc>
      </w:tr>
      <w:tr w:rsidR="005C7D93" w:rsidRPr="00AD151D" w:rsidTr="00691252">
        <w:trPr>
          <w:trHeight w:val="375"/>
        </w:trPr>
        <w:tc>
          <w:tcPr>
            <w:tcW w:w="1170" w:type="dxa"/>
            <w:tcMar>
              <w:left w:w="58" w:type="dxa"/>
              <w:right w:w="58" w:type="dxa"/>
            </w:tcMar>
            <w:vAlign w:val="center"/>
          </w:tcPr>
          <w:p w:rsidR="00AE7D50" w:rsidRPr="00AD151D" w:rsidRDefault="00B414BC" w:rsidP="007D0547">
            <w:pPr>
              <w:keepNext/>
              <w:keepLines/>
              <w:rPr>
                <w:sz w:val="16"/>
                <w:szCs w:val="16"/>
              </w:rPr>
            </w:pPr>
            <w:r w:rsidRPr="00AD151D">
              <w:rPr>
                <w:sz w:val="16"/>
                <w:szCs w:val="16"/>
              </w:rPr>
              <w:t>Non</w:t>
            </w:r>
            <w:r>
              <w:rPr>
                <w:sz w:val="16"/>
                <w:szCs w:val="16"/>
              </w:rPr>
              <w:t>-</w:t>
            </w:r>
            <w:r w:rsidRPr="00AD151D">
              <w:rPr>
                <w:sz w:val="16"/>
                <w:szCs w:val="16"/>
              </w:rPr>
              <w:t>coincident</w:t>
            </w:r>
            <w:r w:rsidR="00AE7D50" w:rsidRPr="00AD151D">
              <w:rPr>
                <w:sz w:val="16"/>
                <w:szCs w:val="16"/>
              </w:rPr>
              <w:t xml:space="preserve"> Peak Demand</w:t>
            </w:r>
          </w:p>
        </w:tc>
        <w:tc>
          <w:tcPr>
            <w:tcW w:w="630" w:type="dxa"/>
            <w:noWrap/>
            <w:tcMar>
              <w:left w:w="58" w:type="dxa"/>
              <w:right w:w="58" w:type="dxa"/>
            </w:tcMar>
            <w:vAlign w:val="bottom"/>
          </w:tcPr>
          <w:p w:rsidR="00AE7D50" w:rsidRPr="00AD151D" w:rsidRDefault="00AE7D50" w:rsidP="007D0547">
            <w:pPr>
              <w:keepNext/>
              <w:keepLines/>
              <w:rPr>
                <w:sz w:val="16"/>
                <w:szCs w:val="16"/>
              </w:rPr>
            </w:pPr>
            <w:r w:rsidRPr="00AD151D">
              <w:rPr>
                <w:sz w:val="16"/>
                <w:szCs w:val="16"/>
              </w:rPr>
              <w:t>Total</w:t>
            </w:r>
          </w:p>
        </w:tc>
        <w:tc>
          <w:tcPr>
            <w:tcW w:w="630" w:type="dxa"/>
            <w:noWrap/>
            <w:tcMar>
              <w:left w:w="43" w:type="dxa"/>
              <w:right w:w="43" w:type="dxa"/>
            </w:tcMar>
            <w:vAlign w:val="bottom"/>
          </w:tcPr>
          <w:p w:rsidR="00AE7D50" w:rsidRPr="00AD151D" w:rsidRDefault="00AE7D50" w:rsidP="007D0547">
            <w:pPr>
              <w:jc w:val="center"/>
              <w:rPr>
                <w:sz w:val="16"/>
                <w:szCs w:val="16"/>
              </w:rPr>
            </w:pPr>
            <w:r w:rsidRPr="00AD151D">
              <w:rPr>
                <w:sz w:val="16"/>
                <w:szCs w:val="16"/>
              </w:rPr>
              <w:t>29,427</w:t>
            </w:r>
          </w:p>
        </w:tc>
        <w:tc>
          <w:tcPr>
            <w:tcW w:w="630" w:type="dxa"/>
            <w:noWrap/>
            <w:tcMar>
              <w:left w:w="43" w:type="dxa"/>
              <w:right w:w="43" w:type="dxa"/>
            </w:tcMar>
            <w:vAlign w:val="bottom"/>
          </w:tcPr>
          <w:p w:rsidR="00AE7D50" w:rsidRPr="00AD151D" w:rsidRDefault="00AE7D50" w:rsidP="007D0547">
            <w:pPr>
              <w:jc w:val="center"/>
              <w:rPr>
                <w:sz w:val="16"/>
                <w:szCs w:val="16"/>
              </w:rPr>
            </w:pPr>
            <w:r w:rsidRPr="00AD151D">
              <w:rPr>
                <w:sz w:val="16"/>
                <w:szCs w:val="16"/>
              </w:rPr>
              <w:t>28,522</w:t>
            </w:r>
          </w:p>
        </w:tc>
        <w:tc>
          <w:tcPr>
            <w:tcW w:w="540" w:type="dxa"/>
            <w:noWrap/>
            <w:tcMar>
              <w:left w:w="43" w:type="dxa"/>
              <w:right w:w="43" w:type="dxa"/>
            </w:tcMar>
            <w:vAlign w:val="bottom"/>
          </w:tcPr>
          <w:p w:rsidR="00AE7D50" w:rsidRPr="00AD151D" w:rsidRDefault="00AE7D50" w:rsidP="007D0547">
            <w:pPr>
              <w:jc w:val="center"/>
              <w:rPr>
                <w:sz w:val="16"/>
                <w:szCs w:val="16"/>
              </w:rPr>
            </w:pPr>
            <w:r w:rsidRPr="00AD151D">
              <w:rPr>
                <w:sz w:val="16"/>
                <w:szCs w:val="16"/>
              </w:rPr>
              <w:t>28,349</w:t>
            </w:r>
          </w:p>
        </w:tc>
        <w:tc>
          <w:tcPr>
            <w:tcW w:w="540" w:type="dxa"/>
            <w:noWrap/>
            <w:tcMar>
              <w:left w:w="43" w:type="dxa"/>
              <w:right w:w="43" w:type="dxa"/>
            </w:tcMar>
            <w:vAlign w:val="bottom"/>
          </w:tcPr>
          <w:p w:rsidR="00AE7D50" w:rsidRPr="00AD151D" w:rsidRDefault="00AE7D50" w:rsidP="007D0547">
            <w:pPr>
              <w:jc w:val="center"/>
              <w:rPr>
                <w:sz w:val="16"/>
                <w:szCs w:val="16"/>
              </w:rPr>
            </w:pPr>
            <w:r w:rsidRPr="00AD151D">
              <w:rPr>
                <w:sz w:val="16"/>
                <w:szCs w:val="16"/>
              </w:rPr>
              <w:t>30,196</w:t>
            </w:r>
          </w:p>
        </w:tc>
        <w:tc>
          <w:tcPr>
            <w:tcW w:w="540" w:type="dxa"/>
            <w:noWrap/>
            <w:tcMar>
              <w:left w:w="43" w:type="dxa"/>
              <w:right w:w="43" w:type="dxa"/>
            </w:tcMar>
            <w:vAlign w:val="bottom"/>
          </w:tcPr>
          <w:p w:rsidR="00AE7D50" w:rsidRPr="00AD151D" w:rsidRDefault="00AE7D50" w:rsidP="007D0547">
            <w:pPr>
              <w:jc w:val="center"/>
              <w:rPr>
                <w:sz w:val="16"/>
                <w:szCs w:val="16"/>
              </w:rPr>
            </w:pPr>
            <w:r w:rsidRPr="00AD151D">
              <w:rPr>
                <w:sz w:val="16"/>
                <w:szCs w:val="16"/>
              </w:rPr>
              <w:t>34,735</w:t>
            </w:r>
          </w:p>
        </w:tc>
        <w:tc>
          <w:tcPr>
            <w:tcW w:w="540" w:type="dxa"/>
            <w:noWrap/>
            <w:tcMar>
              <w:left w:w="43" w:type="dxa"/>
              <w:right w:w="43" w:type="dxa"/>
            </w:tcMar>
            <w:vAlign w:val="bottom"/>
          </w:tcPr>
          <w:p w:rsidR="00AE7D50" w:rsidRPr="00AD151D" w:rsidRDefault="00AE7D50" w:rsidP="007D0547">
            <w:pPr>
              <w:jc w:val="center"/>
              <w:rPr>
                <w:sz w:val="16"/>
                <w:szCs w:val="16"/>
              </w:rPr>
            </w:pPr>
            <w:r w:rsidRPr="00AD151D">
              <w:rPr>
                <w:sz w:val="16"/>
                <w:szCs w:val="16"/>
              </w:rPr>
              <w:t>39,370</w:t>
            </w:r>
          </w:p>
        </w:tc>
        <w:tc>
          <w:tcPr>
            <w:tcW w:w="540" w:type="dxa"/>
            <w:noWrap/>
            <w:tcMar>
              <w:left w:w="43" w:type="dxa"/>
              <w:right w:w="43" w:type="dxa"/>
            </w:tcMar>
            <w:vAlign w:val="bottom"/>
          </w:tcPr>
          <w:p w:rsidR="00AE7D50" w:rsidRPr="00AD151D" w:rsidRDefault="00AE7D50" w:rsidP="007D0547">
            <w:pPr>
              <w:jc w:val="center"/>
              <w:rPr>
                <w:sz w:val="16"/>
                <w:szCs w:val="16"/>
              </w:rPr>
            </w:pPr>
            <w:r w:rsidRPr="00AD151D">
              <w:rPr>
                <w:sz w:val="16"/>
                <w:szCs w:val="16"/>
              </w:rPr>
              <w:t>43,727</w:t>
            </w:r>
          </w:p>
        </w:tc>
        <w:tc>
          <w:tcPr>
            <w:tcW w:w="630" w:type="dxa"/>
            <w:noWrap/>
            <w:tcMar>
              <w:left w:w="43" w:type="dxa"/>
              <w:right w:w="43" w:type="dxa"/>
            </w:tcMar>
            <w:vAlign w:val="bottom"/>
          </w:tcPr>
          <w:p w:rsidR="00AE7D50" w:rsidRPr="00AD151D" w:rsidRDefault="00AE7D50" w:rsidP="007D0547">
            <w:pPr>
              <w:jc w:val="center"/>
              <w:rPr>
                <w:sz w:val="16"/>
                <w:szCs w:val="16"/>
              </w:rPr>
            </w:pPr>
            <w:r w:rsidRPr="00AD151D">
              <w:rPr>
                <w:sz w:val="16"/>
                <w:szCs w:val="16"/>
              </w:rPr>
              <w:t>45,729</w:t>
            </w:r>
          </w:p>
        </w:tc>
        <w:tc>
          <w:tcPr>
            <w:tcW w:w="540" w:type="dxa"/>
            <w:noWrap/>
            <w:tcMar>
              <w:left w:w="43" w:type="dxa"/>
              <w:right w:w="43" w:type="dxa"/>
            </w:tcMar>
            <w:vAlign w:val="bottom"/>
          </w:tcPr>
          <w:p w:rsidR="00AE7D50" w:rsidRPr="00AD151D" w:rsidRDefault="00AE7D50" w:rsidP="007D0547">
            <w:pPr>
              <w:jc w:val="center"/>
              <w:rPr>
                <w:sz w:val="16"/>
                <w:szCs w:val="16"/>
              </w:rPr>
            </w:pPr>
            <w:r w:rsidRPr="00AD151D">
              <w:rPr>
                <w:sz w:val="16"/>
                <w:szCs w:val="16"/>
              </w:rPr>
              <w:t>41,658</w:t>
            </w:r>
          </w:p>
        </w:tc>
        <w:tc>
          <w:tcPr>
            <w:tcW w:w="630" w:type="dxa"/>
            <w:noWrap/>
            <w:tcMar>
              <w:left w:w="43" w:type="dxa"/>
              <w:right w:w="43" w:type="dxa"/>
            </w:tcMar>
            <w:vAlign w:val="bottom"/>
          </w:tcPr>
          <w:p w:rsidR="00AE7D50" w:rsidRPr="00AD151D" w:rsidRDefault="00AE7D50" w:rsidP="007D0547">
            <w:pPr>
              <w:jc w:val="center"/>
              <w:rPr>
                <w:sz w:val="16"/>
                <w:szCs w:val="16"/>
              </w:rPr>
            </w:pPr>
            <w:r w:rsidRPr="00AD151D">
              <w:rPr>
                <w:sz w:val="16"/>
                <w:szCs w:val="16"/>
              </w:rPr>
              <w:t>33,640</w:t>
            </w:r>
          </w:p>
        </w:tc>
        <w:tc>
          <w:tcPr>
            <w:tcW w:w="540" w:type="dxa"/>
            <w:noWrap/>
            <w:tcMar>
              <w:left w:w="43" w:type="dxa"/>
              <w:right w:w="43" w:type="dxa"/>
            </w:tcMar>
            <w:vAlign w:val="bottom"/>
          </w:tcPr>
          <w:p w:rsidR="00AE7D50" w:rsidRPr="00AD151D" w:rsidRDefault="00AE7D50" w:rsidP="007D0547">
            <w:pPr>
              <w:jc w:val="center"/>
              <w:rPr>
                <w:sz w:val="16"/>
                <w:szCs w:val="16"/>
              </w:rPr>
            </w:pPr>
            <w:r w:rsidRPr="00AD151D">
              <w:rPr>
                <w:sz w:val="16"/>
                <w:szCs w:val="16"/>
              </w:rPr>
              <w:t>29,657</w:t>
            </w:r>
          </w:p>
        </w:tc>
        <w:tc>
          <w:tcPr>
            <w:tcW w:w="598" w:type="dxa"/>
            <w:noWrap/>
            <w:tcMar>
              <w:left w:w="43" w:type="dxa"/>
              <w:right w:w="43" w:type="dxa"/>
            </w:tcMar>
            <w:vAlign w:val="bottom"/>
          </w:tcPr>
          <w:p w:rsidR="00AE7D50" w:rsidRPr="00AD151D" w:rsidRDefault="00AE7D50" w:rsidP="007D0547">
            <w:pPr>
              <w:jc w:val="center"/>
              <w:rPr>
                <w:sz w:val="16"/>
                <w:szCs w:val="16"/>
              </w:rPr>
            </w:pPr>
            <w:r w:rsidRPr="00AD151D">
              <w:rPr>
                <w:sz w:val="16"/>
                <w:szCs w:val="16"/>
              </w:rPr>
              <w:t>31,299</w:t>
            </w:r>
          </w:p>
        </w:tc>
      </w:tr>
      <w:tr w:rsidR="005C7D93" w:rsidRPr="00AD151D" w:rsidTr="00691252">
        <w:trPr>
          <w:trHeight w:val="316"/>
        </w:trPr>
        <w:tc>
          <w:tcPr>
            <w:tcW w:w="1170" w:type="dxa"/>
            <w:tcMar>
              <w:left w:w="58" w:type="dxa"/>
              <w:right w:w="58" w:type="dxa"/>
            </w:tcMar>
            <w:vAlign w:val="center"/>
          </w:tcPr>
          <w:p w:rsidR="00AE7D50" w:rsidRPr="00AD151D" w:rsidRDefault="00AE7D50" w:rsidP="007D0547">
            <w:pPr>
              <w:keepNext/>
              <w:keepLines/>
              <w:rPr>
                <w:sz w:val="16"/>
                <w:szCs w:val="16"/>
              </w:rPr>
            </w:pPr>
            <w:r w:rsidRPr="00AD151D">
              <w:rPr>
                <w:sz w:val="16"/>
                <w:szCs w:val="16"/>
              </w:rPr>
              <w:t>Coincidence Adjustment</w:t>
            </w:r>
          </w:p>
        </w:tc>
        <w:tc>
          <w:tcPr>
            <w:tcW w:w="630" w:type="dxa"/>
            <w:noWrap/>
            <w:tcMar>
              <w:left w:w="58" w:type="dxa"/>
              <w:right w:w="58" w:type="dxa"/>
            </w:tcMar>
            <w:vAlign w:val="bottom"/>
          </w:tcPr>
          <w:p w:rsidR="00AE7D50" w:rsidRPr="00AD151D" w:rsidRDefault="00AE7D50" w:rsidP="007D0547">
            <w:pPr>
              <w:keepNext/>
              <w:keepLines/>
              <w:rPr>
                <w:sz w:val="16"/>
                <w:szCs w:val="16"/>
              </w:rPr>
            </w:pPr>
            <w:r w:rsidRPr="00AD151D">
              <w:rPr>
                <w:sz w:val="16"/>
                <w:szCs w:val="16"/>
              </w:rPr>
              <w:t>Total</w:t>
            </w:r>
          </w:p>
        </w:tc>
        <w:tc>
          <w:tcPr>
            <w:tcW w:w="630" w:type="dxa"/>
            <w:noWrap/>
            <w:tcMar>
              <w:left w:w="43" w:type="dxa"/>
              <w:right w:w="43" w:type="dxa"/>
            </w:tcMar>
            <w:vAlign w:val="bottom"/>
          </w:tcPr>
          <w:p w:rsidR="00AE7D50" w:rsidRPr="00AD151D" w:rsidRDefault="00AE7D50" w:rsidP="007D0547">
            <w:pPr>
              <w:jc w:val="center"/>
              <w:rPr>
                <w:sz w:val="16"/>
                <w:szCs w:val="16"/>
              </w:rPr>
            </w:pPr>
            <w:r w:rsidRPr="00AD151D">
              <w:rPr>
                <w:sz w:val="16"/>
                <w:szCs w:val="16"/>
              </w:rPr>
              <w:t>(421)</w:t>
            </w:r>
          </w:p>
        </w:tc>
        <w:tc>
          <w:tcPr>
            <w:tcW w:w="630" w:type="dxa"/>
            <w:noWrap/>
            <w:tcMar>
              <w:left w:w="43" w:type="dxa"/>
              <w:right w:w="43" w:type="dxa"/>
            </w:tcMar>
            <w:vAlign w:val="bottom"/>
          </w:tcPr>
          <w:p w:rsidR="00AE7D50" w:rsidRPr="00AD151D" w:rsidRDefault="00AE7D50" w:rsidP="007D0547">
            <w:pPr>
              <w:jc w:val="center"/>
              <w:rPr>
                <w:sz w:val="16"/>
                <w:szCs w:val="16"/>
              </w:rPr>
            </w:pPr>
            <w:r w:rsidRPr="00AD151D">
              <w:rPr>
                <w:sz w:val="16"/>
                <w:szCs w:val="16"/>
              </w:rPr>
              <w:t>(510)</w:t>
            </w:r>
          </w:p>
        </w:tc>
        <w:tc>
          <w:tcPr>
            <w:tcW w:w="540" w:type="dxa"/>
            <w:noWrap/>
            <w:tcMar>
              <w:left w:w="43" w:type="dxa"/>
              <w:right w:w="43" w:type="dxa"/>
            </w:tcMar>
            <w:vAlign w:val="bottom"/>
          </w:tcPr>
          <w:p w:rsidR="00AE7D50" w:rsidRPr="00AD151D" w:rsidRDefault="00AE7D50" w:rsidP="007D0547">
            <w:pPr>
              <w:jc w:val="center"/>
              <w:rPr>
                <w:sz w:val="16"/>
                <w:szCs w:val="16"/>
              </w:rPr>
            </w:pPr>
            <w:r w:rsidRPr="00AD151D">
              <w:rPr>
                <w:sz w:val="16"/>
                <w:szCs w:val="16"/>
              </w:rPr>
              <w:t>(223)</w:t>
            </w:r>
          </w:p>
        </w:tc>
        <w:tc>
          <w:tcPr>
            <w:tcW w:w="540" w:type="dxa"/>
            <w:noWrap/>
            <w:tcMar>
              <w:left w:w="43" w:type="dxa"/>
              <w:right w:w="43" w:type="dxa"/>
            </w:tcMar>
            <w:vAlign w:val="bottom"/>
          </w:tcPr>
          <w:p w:rsidR="00AE7D50" w:rsidRPr="00AD151D" w:rsidRDefault="00AE7D50" w:rsidP="007D0547">
            <w:pPr>
              <w:jc w:val="center"/>
              <w:rPr>
                <w:sz w:val="16"/>
                <w:szCs w:val="16"/>
              </w:rPr>
            </w:pPr>
            <w:r w:rsidRPr="00AD151D">
              <w:rPr>
                <w:sz w:val="16"/>
                <w:szCs w:val="16"/>
              </w:rPr>
              <w:t>(552)</w:t>
            </w:r>
          </w:p>
        </w:tc>
        <w:tc>
          <w:tcPr>
            <w:tcW w:w="540" w:type="dxa"/>
            <w:noWrap/>
            <w:tcMar>
              <w:left w:w="43" w:type="dxa"/>
              <w:right w:w="43" w:type="dxa"/>
            </w:tcMar>
            <w:vAlign w:val="bottom"/>
          </w:tcPr>
          <w:p w:rsidR="00AE7D50" w:rsidRPr="00AD151D" w:rsidRDefault="00AE7D50" w:rsidP="007D0547">
            <w:pPr>
              <w:jc w:val="center"/>
              <w:rPr>
                <w:sz w:val="16"/>
                <w:szCs w:val="16"/>
              </w:rPr>
            </w:pPr>
            <w:r w:rsidRPr="00AD151D">
              <w:rPr>
                <w:sz w:val="16"/>
                <w:szCs w:val="16"/>
              </w:rPr>
              <w:t>(699)</w:t>
            </w:r>
          </w:p>
        </w:tc>
        <w:tc>
          <w:tcPr>
            <w:tcW w:w="540" w:type="dxa"/>
            <w:noWrap/>
            <w:tcMar>
              <w:left w:w="43" w:type="dxa"/>
              <w:right w:w="43" w:type="dxa"/>
            </w:tcMar>
            <w:vAlign w:val="bottom"/>
          </w:tcPr>
          <w:p w:rsidR="00AE7D50" w:rsidRPr="00AD151D" w:rsidRDefault="00AE7D50" w:rsidP="007D0547">
            <w:pPr>
              <w:jc w:val="center"/>
              <w:rPr>
                <w:sz w:val="16"/>
                <w:szCs w:val="16"/>
              </w:rPr>
            </w:pPr>
            <w:r w:rsidRPr="00AD151D">
              <w:rPr>
                <w:sz w:val="16"/>
                <w:szCs w:val="16"/>
              </w:rPr>
              <w:t>(611)</w:t>
            </w:r>
          </w:p>
        </w:tc>
        <w:tc>
          <w:tcPr>
            <w:tcW w:w="540" w:type="dxa"/>
            <w:noWrap/>
            <w:tcMar>
              <w:left w:w="43" w:type="dxa"/>
              <w:right w:w="43" w:type="dxa"/>
            </w:tcMar>
            <w:vAlign w:val="bottom"/>
          </w:tcPr>
          <w:p w:rsidR="00AE7D50" w:rsidRPr="00AD151D" w:rsidRDefault="00AE7D50" w:rsidP="007D0547">
            <w:pPr>
              <w:jc w:val="center"/>
              <w:rPr>
                <w:sz w:val="16"/>
                <w:szCs w:val="16"/>
              </w:rPr>
            </w:pPr>
            <w:r w:rsidRPr="00AD151D">
              <w:rPr>
                <w:sz w:val="16"/>
                <w:szCs w:val="16"/>
              </w:rPr>
              <w:t>(554)</w:t>
            </w:r>
          </w:p>
        </w:tc>
        <w:tc>
          <w:tcPr>
            <w:tcW w:w="630" w:type="dxa"/>
            <w:noWrap/>
            <w:tcMar>
              <w:left w:w="43" w:type="dxa"/>
              <w:right w:w="43" w:type="dxa"/>
            </w:tcMar>
            <w:vAlign w:val="bottom"/>
          </w:tcPr>
          <w:p w:rsidR="00AE7D50" w:rsidRPr="00AD151D" w:rsidRDefault="00AE7D50" w:rsidP="007D0547">
            <w:pPr>
              <w:jc w:val="center"/>
              <w:rPr>
                <w:sz w:val="16"/>
                <w:szCs w:val="16"/>
              </w:rPr>
            </w:pPr>
            <w:r w:rsidRPr="00AD151D">
              <w:rPr>
                <w:sz w:val="16"/>
                <w:szCs w:val="16"/>
              </w:rPr>
              <w:t>(882)</w:t>
            </w:r>
          </w:p>
        </w:tc>
        <w:tc>
          <w:tcPr>
            <w:tcW w:w="540" w:type="dxa"/>
            <w:noWrap/>
            <w:tcMar>
              <w:left w:w="43" w:type="dxa"/>
              <w:right w:w="43" w:type="dxa"/>
            </w:tcMar>
            <w:vAlign w:val="bottom"/>
          </w:tcPr>
          <w:p w:rsidR="00AE7D50" w:rsidRPr="00AD151D" w:rsidRDefault="00AE7D50" w:rsidP="007D0547">
            <w:pPr>
              <w:jc w:val="center"/>
              <w:rPr>
                <w:sz w:val="16"/>
                <w:szCs w:val="16"/>
              </w:rPr>
            </w:pPr>
            <w:r w:rsidRPr="00AD151D">
              <w:rPr>
                <w:sz w:val="16"/>
                <w:szCs w:val="16"/>
              </w:rPr>
              <w:t>(693)</w:t>
            </w:r>
          </w:p>
        </w:tc>
        <w:tc>
          <w:tcPr>
            <w:tcW w:w="630" w:type="dxa"/>
            <w:noWrap/>
            <w:tcMar>
              <w:left w:w="43" w:type="dxa"/>
              <w:right w:w="43" w:type="dxa"/>
            </w:tcMar>
            <w:vAlign w:val="bottom"/>
          </w:tcPr>
          <w:p w:rsidR="00AE7D50" w:rsidRPr="00AD151D" w:rsidRDefault="00AE7D50" w:rsidP="007D0547">
            <w:pPr>
              <w:jc w:val="center"/>
              <w:rPr>
                <w:sz w:val="16"/>
                <w:szCs w:val="16"/>
              </w:rPr>
            </w:pPr>
            <w:r w:rsidRPr="00AD151D">
              <w:rPr>
                <w:sz w:val="16"/>
                <w:szCs w:val="16"/>
              </w:rPr>
              <w:t>(555)</w:t>
            </w:r>
          </w:p>
        </w:tc>
        <w:tc>
          <w:tcPr>
            <w:tcW w:w="540" w:type="dxa"/>
            <w:noWrap/>
            <w:tcMar>
              <w:left w:w="43" w:type="dxa"/>
              <w:right w:w="43" w:type="dxa"/>
            </w:tcMar>
            <w:vAlign w:val="bottom"/>
          </w:tcPr>
          <w:p w:rsidR="00AE7D50" w:rsidRPr="00AD151D" w:rsidRDefault="00AE7D50" w:rsidP="007D0547">
            <w:pPr>
              <w:jc w:val="center"/>
              <w:rPr>
                <w:sz w:val="16"/>
                <w:szCs w:val="16"/>
              </w:rPr>
            </w:pPr>
            <w:r w:rsidRPr="00AD151D">
              <w:rPr>
                <w:sz w:val="16"/>
                <w:szCs w:val="16"/>
              </w:rPr>
              <w:t>(533)</w:t>
            </w:r>
          </w:p>
        </w:tc>
        <w:tc>
          <w:tcPr>
            <w:tcW w:w="598" w:type="dxa"/>
            <w:noWrap/>
            <w:tcMar>
              <w:left w:w="43" w:type="dxa"/>
              <w:right w:w="43" w:type="dxa"/>
            </w:tcMar>
            <w:vAlign w:val="bottom"/>
          </w:tcPr>
          <w:p w:rsidR="00AE7D50" w:rsidRPr="00AD151D" w:rsidRDefault="00AE7D50" w:rsidP="007D0547">
            <w:pPr>
              <w:jc w:val="center"/>
              <w:rPr>
                <w:sz w:val="16"/>
                <w:szCs w:val="16"/>
              </w:rPr>
            </w:pPr>
            <w:r w:rsidRPr="00AD151D">
              <w:rPr>
                <w:sz w:val="16"/>
                <w:szCs w:val="16"/>
              </w:rPr>
              <w:t>(362)</w:t>
            </w:r>
          </w:p>
        </w:tc>
      </w:tr>
      <w:tr w:rsidR="005C7D93" w:rsidRPr="00AD151D" w:rsidTr="00691252">
        <w:trPr>
          <w:trHeight w:val="340"/>
        </w:trPr>
        <w:tc>
          <w:tcPr>
            <w:tcW w:w="1170" w:type="dxa"/>
            <w:tcMar>
              <w:left w:w="58" w:type="dxa"/>
              <w:right w:w="58" w:type="dxa"/>
            </w:tcMar>
            <w:vAlign w:val="center"/>
          </w:tcPr>
          <w:p w:rsidR="00AE7D50" w:rsidRPr="00AD151D" w:rsidRDefault="00AE7D50">
            <w:pPr>
              <w:keepNext/>
              <w:keepLines/>
              <w:spacing w:before="120"/>
              <w:rPr>
                <w:b/>
                <w:bCs/>
                <w:sz w:val="16"/>
                <w:szCs w:val="16"/>
              </w:rPr>
            </w:pPr>
            <w:r w:rsidRPr="00AD151D">
              <w:rPr>
                <w:b/>
                <w:bCs/>
                <w:sz w:val="16"/>
                <w:szCs w:val="16"/>
              </w:rPr>
              <w:t>Final Load Forecast Used for Compliance</w:t>
            </w:r>
          </w:p>
        </w:tc>
        <w:tc>
          <w:tcPr>
            <w:tcW w:w="630" w:type="dxa"/>
            <w:noWrap/>
            <w:tcMar>
              <w:left w:w="58" w:type="dxa"/>
              <w:right w:w="58" w:type="dxa"/>
            </w:tcMar>
            <w:vAlign w:val="bottom"/>
          </w:tcPr>
          <w:p w:rsidR="00AE7D50" w:rsidRPr="00AD151D" w:rsidRDefault="00AE7D50">
            <w:pPr>
              <w:keepNext/>
              <w:keepLines/>
              <w:spacing w:before="120"/>
              <w:rPr>
                <w:b/>
                <w:sz w:val="16"/>
                <w:szCs w:val="16"/>
              </w:rPr>
            </w:pPr>
            <w:r w:rsidRPr="00AD151D">
              <w:rPr>
                <w:b/>
                <w:sz w:val="16"/>
                <w:szCs w:val="16"/>
              </w:rPr>
              <w:t>Total</w:t>
            </w:r>
          </w:p>
        </w:tc>
        <w:tc>
          <w:tcPr>
            <w:tcW w:w="630" w:type="dxa"/>
            <w:noWrap/>
            <w:tcMar>
              <w:left w:w="43" w:type="dxa"/>
              <w:right w:w="43" w:type="dxa"/>
            </w:tcMar>
            <w:vAlign w:val="bottom"/>
          </w:tcPr>
          <w:p w:rsidR="00AE7D50" w:rsidRPr="00AD151D" w:rsidRDefault="00AE7D50" w:rsidP="00691252">
            <w:pPr>
              <w:jc w:val="center"/>
              <w:rPr>
                <w:sz w:val="16"/>
                <w:szCs w:val="16"/>
              </w:rPr>
            </w:pPr>
            <w:r w:rsidRPr="00AD151D">
              <w:rPr>
                <w:sz w:val="16"/>
                <w:szCs w:val="16"/>
              </w:rPr>
              <w:t>29,006</w:t>
            </w:r>
          </w:p>
        </w:tc>
        <w:tc>
          <w:tcPr>
            <w:tcW w:w="630" w:type="dxa"/>
            <w:noWrap/>
            <w:tcMar>
              <w:left w:w="43" w:type="dxa"/>
              <w:right w:w="43" w:type="dxa"/>
            </w:tcMar>
            <w:vAlign w:val="bottom"/>
          </w:tcPr>
          <w:p w:rsidR="00AE7D50" w:rsidRPr="00AD151D" w:rsidRDefault="00AE7D50" w:rsidP="00691252">
            <w:pPr>
              <w:jc w:val="center"/>
              <w:rPr>
                <w:sz w:val="16"/>
                <w:szCs w:val="16"/>
              </w:rPr>
            </w:pPr>
            <w:r w:rsidRPr="00AD151D">
              <w:rPr>
                <w:sz w:val="16"/>
                <w:szCs w:val="16"/>
              </w:rPr>
              <w:t>28,012</w:t>
            </w:r>
          </w:p>
        </w:tc>
        <w:tc>
          <w:tcPr>
            <w:tcW w:w="540" w:type="dxa"/>
            <w:noWrap/>
            <w:tcMar>
              <w:left w:w="43" w:type="dxa"/>
              <w:right w:w="43" w:type="dxa"/>
            </w:tcMar>
            <w:vAlign w:val="bottom"/>
          </w:tcPr>
          <w:p w:rsidR="00AE7D50" w:rsidRPr="00AD151D" w:rsidRDefault="00AE7D50" w:rsidP="00691252">
            <w:pPr>
              <w:jc w:val="center"/>
              <w:rPr>
                <w:sz w:val="16"/>
                <w:szCs w:val="16"/>
              </w:rPr>
            </w:pPr>
            <w:r w:rsidRPr="00AD151D">
              <w:rPr>
                <w:sz w:val="16"/>
                <w:szCs w:val="16"/>
              </w:rPr>
              <w:t>28,126</w:t>
            </w:r>
          </w:p>
        </w:tc>
        <w:tc>
          <w:tcPr>
            <w:tcW w:w="540" w:type="dxa"/>
            <w:noWrap/>
            <w:tcMar>
              <w:left w:w="43" w:type="dxa"/>
              <w:right w:w="43" w:type="dxa"/>
            </w:tcMar>
            <w:vAlign w:val="bottom"/>
          </w:tcPr>
          <w:p w:rsidR="00AE7D50" w:rsidRPr="00AD151D" w:rsidRDefault="00AE7D50" w:rsidP="00691252">
            <w:pPr>
              <w:jc w:val="center"/>
              <w:rPr>
                <w:sz w:val="16"/>
                <w:szCs w:val="16"/>
              </w:rPr>
            </w:pPr>
            <w:r w:rsidRPr="00AD151D">
              <w:rPr>
                <w:sz w:val="16"/>
                <w:szCs w:val="16"/>
              </w:rPr>
              <w:t>29,645</w:t>
            </w:r>
          </w:p>
        </w:tc>
        <w:tc>
          <w:tcPr>
            <w:tcW w:w="540" w:type="dxa"/>
            <w:noWrap/>
            <w:tcMar>
              <w:left w:w="43" w:type="dxa"/>
              <w:right w:w="43" w:type="dxa"/>
            </w:tcMar>
            <w:vAlign w:val="bottom"/>
          </w:tcPr>
          <w:p w:rsidR="00AE7D50" w:rsidRPr="00AD151D" w:rsidRDefault="00AE7D50" w:rsidP="00691252">
            <w:pPr>
              <w:jc w:val="center"/>
              <w:rPr>
                <w:sz w:val="16"/>
                <w:szCs w:val="16"/>
              </w:rPr>
            </w:pPr>
            <w:r w:rsidRPr="00AD151D">
              <w:rPr>
                <w:sz w:val="16"/>
                <w:szCs w:val="16"/>
              </w:rPr>
              <w:t>34,036</w:t>
            </w:r>
          </w:p>
        </w:tc>
        <w:tc>
          <w:tcPr>
            <w:tcW w:w="540" w:type="dxa"/>
            <w:noWrap/>
            <w:tcMar>
              <w:left w:w="43" w:type="dxa"/>
              <w:right w:w="43" w:type="dxa"/>
            </w:tcMar>
            <w:vAlign w:val="bottom"/>
          </w:tcPr>
          <w:p w:rsidR="00AE7D50" w:rsidRPr="00AD151D" w:rsidRDefault="00AE7D50" w:rsidP="00691252">
            <w:pPr>
              <w:jc w:val="center"/>
              <w:rPr>
                <w:sz w:val="16"/>
                <w:szCs w:val="16"/>
              </w:rPr>
            </w:pPr>
            <w:r w:rsidRPr="00AD151D">
              <w:rPr>
                <w:sz w:val="16"/>
                <w:szCs w:val="16"/>
              </w:rPr>
              <w:t>38,759</w:t>
            </w:r>
          </w:p>
        </w:tc>
        <w:tc>
          <w:tcPr>
            <w:tcW w:w="540" w:type="dxa"/>
            <w:noWrap/>
            <w:tcMar>
              <w:left w:w="43" w:type="dxa"/>
              <w:right w:w="43" w:type="dxa"/>
            </w:tcMar>
            <w:vAlign w:val="bottom"/>
          </w:tcPr>
          <w:p w:rsidR="00AE7D50" w:rsidRPr="00AD151D" w:rsidRDefault="00AE7D50" w:rsidP="00691252">
            <w:pPr>
              <w:jc w:val="center"/>
              <w:rPr>
                <w:sz w:val="16"/>
                <w:szCs w:val="16"/>
              </w:rPr>
            </w:pPr>
            <w:r w:rsidRPr="00AD151D">
              <w:rPr>
                <w:sz w:val="16"/>
                <w:szCs w:val="16"/>
              </w:rPr>
              <w:t>43,173</w:t>
            </w:r>
          </w:p>
        </w:tc>
        <w:tc>
          <w:tcPr>
            <w:tcW w:w="630" w:type="dxa"/>
            <w:noWrap/>
            <w:tcMar>
              <w:left w:w="43" w:type="dxa"/>
              <w:right w:w="43" w:type="dxa"/>
            </w:tcMar>
            <w:vAlign w:val="bottom"/>
          </w:tcPr>
          <w:p w:rsidR="00AE7D50" w:rsidRPr="00AD151D" w:rsidRDefault="00AE7D50" w:rsidP="00691252">
            <w:pPr>
              <w:jc w:val="center"/>
              <w:rPr>
                <w:sz w:val="16"/>
                <w:szCs w:val="16"/>
              </w:rPr>
            </w:pPr>
            <w:r w:rsidRPr="00AD151D">
              <w:rPr>
                <w:sz w:val="16"/>
                <w:szCs w:val="16"/>
              </w:rPr>
              <w:t>44,847</w:t>
            </w:r>
          </w:p>
        </w:tc>
        <w:tc>
          <w:tcPr>
            <w:tcW w:w="540" w:type="dxa"/>
            <w:noWrap/>
            <w:tcMar>
              <w:left w:w="43" w:type="dxa"/>
              <w:right w:w="43" w:type="dxa"/>
            </w:tcMar>
            <w:vAlign w:val="bottom"/>
          </w:tcPr>
          <w:p w:rsidR="00AE7D50" w:rsidRPr="00AD151D" w:rsidRDefault="00AE7D50" w:rsidP="00691252">
            <w:pPr>
              <w:jc w:val="center"/>
              <w:rPr>
                <w:sz w:val="16"/>
                <w:szCs w:val="16"/>
              </w:rPr>
            </w:pPr>
            <w:r w:rsidRPr="00AD151D">
              <w:rPr>
                <w:sz w:val="16"/>
                <w:szCs w:val="16"/>
              </w:rPr>
              <w:t>40,965</w:t>
            </w:r>
          </w:p>
        </w:tc>
        <w:tc>
          <w:tcPr>
            <w:tcW w:w="630" w:type="dxa"/>
            <w:noWrap/>
            <w:tcMar>
              <w:left w:w="43" w:type="dxa"/>
              <w:right w:w="43" w:type="dxa"/>
            </w:tcMar>
            <w:vAlign w:val="bottom"/>
          </w:tcPr>
          <w:p w:rsidR="00AE7D50" w:rsidRPr="00AD151D" w:rsidRDefault="00AE7D50" w:rsidP="00691252">
            <w:pPr>
              <w:jc w:val="center"/>
              <w:rPr>
                <w:sz w:val="16"/>
                <w:szCs w:val="16"/>
              </w:rPr>
            </w:pPr>
            <w:r w:rsidRPr="00AD151D">
              <w:rPr>
                <w:sz w:val="16"/>
                <w:szCs w:val="16"/>
              </w:rPr>
              <w:t>33,084</w:t>
            </w:r>
          </w:p>
        </w:tc>
        <w:tc>
          <w:tcPr>
            <w:tcW w:w="540" w:type="dxa"/>
            <w:noWrap/>
            <w:tcMar>
              <w:left w:w="43" w:type="dxa"/>
              <w:right w:w="43" w:type="dxa"/>
            </w:tcMar>
            <w:vAlign w:val="bottom"/>
          </w:tcPr>
          <w:p w:rsidR="00AE7D50" w:rsidRPr="00AD151D" w:rsidRDefault="00AE7D50" w:rsidP="00691252">
            <w:pPr>
              <w:jc w:val="center"/>
              <w:rPr>
                <w:sz w:val="16"/>
                <w:szCs w:val="16"/>
              </w:rPr>
            </w:pPr>
            <w:r w:rsidRPr="00AD151D">
              <w:rPr>
                <w:sz w:val="16"/>
                <w:szCs w:val="16"/>
              </w:rPr>
              <w:t>29,124</w:t>
            </w:r>
          </w:p>
        </w:tc>
        <w:tc>
          <w:tcPr>
            <w:tcW w:w="598" w:type="dxa"/>
            <w:noWrap/>
            <w:tcMar>
              <w:left w:w="43" w:type="dxa"/>
              <w:right w:w="43" w:type="dxa"/>
            </w:tcMar>
            <w:vAlign w:val="bottom"/>
          </w:tcPr>
          <w:p w:rsidR="00AE7D50" w:rsidRPr="00AD151D" w:rsidRDefault="00AE7D50" w:rsidP="00691252">
            <w:pPr>
              <w:jc w:val="center"/>
              <w:rPr>
                <w:sz w:val="16"/>
                <w:szCs w:val="16"/>
              </w:rPr>
            </w:pPr>
            <w:r w:rsidRPr="00AD151D">
              <w:rPr>
                <w:sz w:val="16"/>
                <w:szCs w:val="16"/>
              </w:rPr>
              <w:t>30,937</w:t>
            </w:r>
          </w:p>
        </w:tc>
      </w:tr>
    </w:tbl>
    <w:p w:rsidR="00AE7D50" w:rsidRPr="00AD151D" w:rsidRDefault="00AE7D50">
      <w:pPr>
        <w:keepNext/>
        <w:keepLines/>
        <w:spacing w:before="120"/>
      </w:pPr>
      <w:r w:rsidRPr="00AD151D">
        <w:rPr>
          <w:sz w:val="20"/>
          <w:szCs w:val="20"/>
        </w:rPr>
        <w:t>Source: CEC Staff aggregate Load Forecast adjustment</w:t>
      </w:r>
      <w:bookmarkStart w:id="34" w:name="_Toc224022434"/>
      <w:r w:rsidRPr="00AD151D">
        <w:tab/>
      </w:r>
    </w:p>
    <w:p w:rsidR="00AF07E7" w:rsidRDefault="00AE7D50">
      <w:pPr>
        <w:widowControl w:val="0"/>
        <w:spacing w:before="120"/>
        <w:ind w:firstLine="720"/>
      </w:pPr>
      <w:r w:rsidRPr="00AD151D">
        <w:t xml:space="preserve">  </w:t>
      </w:r>
      <w:r w:rsidR="005243B3">
        <w:t>In</w:t>
      </w:r>
      <w:r w:rsidRPr="00AD151D">
        <w:t xml:space="preserve"> 2011 </w:t>
      </w:r>
      <w:r w:rsidR="005243B3">
        <w:t>the CEC</w:t>
      </w:r>
      <w:r w:rsidRPr="00AD151D">
        <w:t xml:space="preserve"> increase</w:t>
      </w:r>
      <w:r w:rsidR="005243B3">
        <w:t>d the</w:t>
      </w:r>
      <w:r w:rsidRPr="00AD151D">
        <w:t xml:space="preserve"> total </w:t>
      </w:r>
      <w:r w:rsidR="005243B3">
        <w:t xml:space="preserve">plausibility </w:t>
      </w:r>
      <w:r w:rsidRPr="00AD151D">
        <w:t xml:space="preserve">adjustments by month, which </w:t>
      </w:r>
      <w:r w:rsidRPr="00AD151D">
        <w:lastRenderedPageBreak/>
        <w:t xml:space="preserve">indicated a </w:t>
      </w:r>
      <w:r w:rsidR="005243B3">
        <w:t>mis</w:t>
      </w:r>
      <w:r w:rsidRPr="00AD151D">
        <w:t>match between forecasts of customer retention and actual retention during the year</w:t>
      </w:r>
      <w:r w:rsidR="00A647C4">
        <w:t>,</w:t>
      </w:r>
      <w:r w:rsidR="000063EF">
        <w:t xml:space="preserve"> largely due to customer retention assumptions used to develop the forecasts. </w:t>
      </w:r>
      <w:r w:rsidRPr="00AD151D">
        <w:t>The LSE forecasts for 2011 compliance year</w:t>
      </w:r>
      <w:r w:rsidR="003B5D33">
        <w:t xml:space="preserve"> </w:t>
      </w:r>
      <w:r w:rsidRPr="00AD151D">
        <w:t xml:space="preserve">demonstrated large increases in plausibility adjustments </w:t>
      </w:r>
      <w:r w:rsidR="003B5D33">
        <w:t xml:space="preserve">potentially </w:t>
      </w:r>
      <w:r w:rsidRPr="00AD151D">
        <w:t xml:space="preserve">due to the uncertainty regarding the broadening of direct access. </w:t>
      </w:r>
    </w:p>
    <w:p w:rsidR="00AE7D50" w:rsidRPr="00AD151D" w:rsidRDefault="00AE7D50">
      <w:pPr>
        <w:widowControl w:val="0"/>
        <w:spacing w:before="120"/>
        <w:ind w:firstLine="720"/>
      </w:pPr>
      <w:r w:rsidRPr="00AD151D">
        <w:t xml:space="preserve"> </w:t>
      </w:r>
      <w:r w:rsidR="00F27FC0" w:rsidRPr="00AD151D">
        <w:fldChar w:fldCharType="begin"/>
      </w:r>
      <w:r w:rsidR="00F27FC0" w:rsidRPr="00AD151D">
        <w:instrText xml:space="preserve"> REF _Ref257645496 \h  \* MERGEFORMAT </w:instrText>
      </w:r>
      <w:r w:rsidR="00F27FC0" w:rsidRPr="00AD151D">
        <w:fldChar w:fldCharType="separate"/>
      </w:r>
      <w:r w:rsidR="00B3535E" w:rsidRPr="00B3535E">
        <w:t>Table 2</w:t>
      </w:r>
      <w:r w:rsidR="00F27FC0" w:rsidRPr="00AD151D">
        <w:fldChar w:fldCharType="end"/>
      </w:r>
      <w:r w:rsidRPr="00AD151D">
        <w:t xml:space="preserve"> illustrates the magnitude of plausibility adjustments in each month and compares 2009, 2010, and 2011 compliance years.  Eight of twelve ESPs and two of three IOUs serving load in 2011 required plausibil</w:t>
      </w:r>
      <w:r w:rsidR="0057084E" w:rsidRPr="00AD151D">
        <w:t>ity adjustments applied to the Y</w:t>
      </w:r>
      <w:r w:rsidRPr="00AD151D">
        <w:t xml:space="preserve">ear-Ahead forecast in any month of the 2011 compliance year.  In 2011, plausibility adjustments were both larger in magnitude and a larger group of LSEs required them.  </w:t>
      </w:r>
    </w:p>
    <w:p w:rsidR="00AE7D50" w:rsidRPr="00AD151D" w:rsidRDefault="00AE7D50" w:rsidP="00AF07E7">
      <w:pPr>
        <w:pStyle w:val="Caption"/>
        <w:keepNext/>
        <w:keepLines/>
        <w:spacing w:before="120"/>
        <w:rPr>
          <w:sz w:val="22"/>
          <w:szCs w:val="22"/>
        </w:rPr>
      </w:pPr>
      <w:bookmarkStart w:id="35" w:name="_Ref257645496"/>
      <w:bookmarkStart w:id="36" w:name="_Toc347827072"/>
      <w:r w:rsidRPr="00AD151D">
        <w:rPr>
          <w:sz w:val="22"/>
          <w:szCs w:val="22"/>
        </w:rPr>
        <w:t xml:space="preserve">Table </w:t>
      </w:r>
      <w:r w:rsidRPr="00AD151D">
        <w:rPr>
          <w:sz w:val="22"/>
          <w:szCs w:val="22"/>
        </w:rPr>
        <w:fldChar w:fldCharType="begin"/>
      </w:r>
      <w:r w:rsidRPr="00AD151D">
        <w:rPr>
          <w:sz w:val="22"/>
          <w:szCs w:val="22"/>
        </w:rPr>
        <w:instrText xml:space="preserve"> SEQ Table \* ARABIC </w:instrText>
      </w:r>
      <w:r w:rsidRPr="00AD151D">
        <w:rPr>
          <w:sz w:val="22"/>
          <w:szCs w:val="22"/>
        </w:rPr>
        <w:fldChar w:fldCharType="separate"/>
      </w:r>
      <w:r w:rsidR="00B3535E">
        <w:rPr>
          <w:noProof/>
          <w:sz w:val="22"/>
          <w:szCs w:val="22"/>
        </w:rPr>
        <w:t>2</w:t>
      </w:r>
      <w:r w:rsidRPr="00AD151D">
        <w:rPr>
          <w:sz w:val="22"/>
          <w:szCs w:val="22"/>
        </w:rPr>
        <w:fldChar w:fldCharType="end"/>
      </w:r>
      <w:bookmarkEnd w:id="35"/>
      <w:r w:rsidRPr="00AD151D">
        <w:rPr>
          <w:sz w:val="22"/>
          <w:szCs w:val="22"/>
        </w:rPr>
        <w:t xml:space="preserve"> CEC Plausibility adjustments 2009-2011 (MW)</w:t>
      </w:r>
      <w:bookmarkEnd w:id="36"/>
    </w:p>
    <w:tbl>
      <w:tblPr>
        <w:tblW w:w="0" w:type="auto"/>
        <w:tblLayout w:type="fixed"/>
        <w:tblCellMar>
          <w:left w:w="58" w:type="dxa"/>
          <w:right w:w="58" w:type="dxa"/>
        </w:tblCellMar>
        <w:tblLook w:val="0000" w:firstRow="0" w:lastRow="0" w:firstColumn="0" w:lastColumn="0" w:noHBand="0" w:noVBand="0"/>
      </w:tblPr>
      <w:tblGrid>
        <w:gridCol w:w="1367"/>
        <w:gridCol w:w="580"/>
        <w:gridCol w:w="630"/>
        <w:gridCol w:w="540"/>
        <w:gridCol w:w="540"/>
        <w:gridCol w:w="630"/>
        <w:gridCol w:w="630"/>
        <w:gridCol w:w="630"/>
        <w:gridCol w:w="630"/>
        <w:gridCol w:w="630"/>
        <w:gridCol w:w="540"/>
        <w:gridCol w:w="630"/>
        <w:gridCol w:w="540"/>
      </w:tblGrid>
      <w:tr w:rsidR="00E04B2C" w:rsidRPr="00AD151D" w:rsidTr="00C9687D">
        <w:trPr>
          <w:trHeight w:val="387"/>
        </w:trPr>
        <w:tc>
          <w:tcPr>
            <w:tcW w:w="1367" w:type="dxa"/>
            <w:tcBorders>
              <w:top w:val="single" w:sz="4" w:space="0" w:color="auto"/>
              <w:left w:val="single" w:sz="4" w:space="0" w:color="auto"/>
              <w:bottom w:val="single" w:sz="4" w:space="0" w:color="auto"/>
              <w:right w:val="single" w:sz="4" w:space="0" w:color="auto"/>
            </w:tcBorders>
            <w:vAlign w:val="center"/>
          </w:tcPr>
          <w:p w:rsidR="00AE7D50" w:rsidRPr="00AD151D" w:rsidRDefault="00AE7D50" w:rsidP="006C5D7A">
            <w:pPr>
              <w:keepNext/>
              <w:keepLines/>
              <w:jc w:val="right"/>
              <w:rPr>
                <w:b/>
                <w:bCs/>
                <w:sz w:val="16"/>
                <w:szCs w:val="16"/>
              </w:rPr>
            </w:pPr>
            <w:r w:rsidRPr="00AD151D">
              <w:rPr>
                <w:b/>
                <w:bCs/>
                <w:sz w:val="16"/>
                <w:szCs w:val="16"/>
              </w:rPr>
              <w:t xml:space="preserve">Year </w:t>
            </w:r>
          </w:p>
        </w:tc>
        <w:tc>
          <w:tcPr>
            <w:tcW w:w="580" w:type="dxa"/>
            <w:tcBorders>
              <w:top w:val="single" w:sz="4" w:space="0" w:color="auto"/>
              <w:left w:val="nil"/>
              <w:bottom w:val="single" w:sz="4" w:space="0" w:color="auto"/>
              <w:right w:val="single" w:sz="4" w:space="0" w:color="auto"/>
            </w:tcBorders>
            <w:vAlign w:val="center"/>
          </w:tcPr>
          <w:p w:rsidR="00AE7D50" w:rsidRPr="00AD151D" w:rsidRDefault="00AE7D50" w:rsidP="006C5D7A">
            <w:pPr>
              <w:keepNext/>
              <w:keepLines/>
              <w:jc w:val="right"/>
              <w:rPr>
                <w:b/>
                <w:bCs/>
                <w:sz w:val="16"/>
                <w:szCs w:val="16"/>
              </w:rPr>
            </w:pPr>
            <w:r w:rsidRPr="00AD151D">
              <w:rPr>
                <w:b/>
                <w:bCs/>
                <w:sz w:val="16"/>
                <w:szCs w:val="16"/>
              </w:rPr>
              <w:t xml:space="preserve"> Jan </w:t>
            </w:r>
          </w:p>
        </w:tc>
        <w:tc>
          <w:tcPr>
            <w:tcW w:w="630" w:type="dxa"/>
            <w:tcBorders>
              <w:top w:val="single" w:sz="4" w:space="0" w:color="auto"/>
              <w:left w:val="nil"/>
              <w:bottom w:val="single" w:sz="4" w:space="0" w:color="auto"/>
              <w:right w:val="single" w:sz="4" w:space="0" w:color="auto"/>
            </w:tcBorders>
            <w:vAlign w:val="center"/>
          </w:tcPr>
          <w:p w:rsidR="00AE7D50" w:rsidRPr="00AD151D" w:rsidRDefault="00AE7D50" w:rsidP="006C5D7A">
            <w:pPr>
              <w:keepNext/>
              <w:keepLines/>
              <w:jc w:val="right"/>
              <w:rPr>
                <w:b/>
                <w:bCs/>
                <w:sz w:val="16"/>
                <w:szCs w:val="16"/>
              </w:rPr>
            </w:pPr>
            <w:r w:rsidRPr="00AD151D">
              <w:rPr>
                <w:b/>
                <w:bCs/>
                <w:sz w:val="16"/>
                <w:szCs w:val="16"/>
              </w:rPr>
              <w:t xml:space="preserve"> Feb </w:t>
            </w:r>
          </w:p>
        </w:tc>
        <w:tc>
          <w:tcPr>
            <w:tcW w:w="540" w:type="dxa"/>
            <w:tcBorders>
              <w:top w:val="single" w:sz="4" w:space="0" w:color="auto"/>
              <w:left w:val="nil"/>
              <w:bottom w:val="single" w:sz="4" w:space="0" w:color="auto"/>
              <w:right w:val="single" w:sz="4" w:space="0" w:color="auto"/>
            </w:tcBorders>
            <w:vAlign w:val="center"/>
          </w:tcPr>
          <w:p w:rsidR="00AE7D50" w:rsidRPr="00AD151D" w:rsidRDefault="00AE7D50" w:rsidP="006C5D7A">
            <w:pPr>
              <w:keepNext/>
              <w:keepLines/>
              <w:jc w:val="right"/>
              <w:rPr>
                <w:b/>
                <w:bCs/>
                <w:sz w:val="16"/>
                <w:szCs w:val="16"/>
              </w:rPr>
            </w:pPr>
            <w:r w:rsidRPr="00AD151D">
              <w:rPr>
                <w:b/>
                <w:bCs/>
                <w:sz w:val="16"/>
                <w:szCs w:val="16"/>
              </w:rPr>
              <w:t xml:space="preserve"> Mar </w:t>
            </w:r>
          </w:p>
        </w:tc>
        <w:tc>
          <w:tcPr>
            <w:tcW w:w="540" w:type="dxa"/>
            <w:tcBorders>
              <w:top w:val="single" w:sz="4" w:space="0" w:color="auto"/>
              <w:left w:val="nil"/>
              <w:bottom w:val="single" w:sz="4" w:space="0" w:color="auto"/>
              <w:right w:val="single" w:sz="4" w:space="0" w:color="auto"/>
            </w:tcBorders>
            <w:vAlign w:val="center"/>
          </w:tcPr>
          <w:p w:rsidR="00AE7D50" w:rsidRPr="00AD151D" w:rsidRDefault="00AE7D50" w:rsidP="006C5D7A">
            <w:pPr>
              <w:keepNext/>
              <w:keepLines/>
              <w:jc w:val="right"/>
              <w:rPr>
                <w:b/>
                <w:bCs/>
                <w:sz w:val="16"/>
                <w:szCs w:val="16"/>
              </w:rPr>
            </w:pPr>
            <w:r w:rsidRPr="00AD151D">
              <w:rPr>
                <w:b/>
                <w:bCs/>
                <w:sz w:val="16"/>
                <w:szCs w:val="16"/>
              </w:rPr>
              <w:t xml:space="preserve"> Apr </w:t>
            </w:r>
          </w:p>
        </w:tc>
        <w:tc>
          <w:tcPr>
            <w:tcW w:w="630" w:type="dxa"/>
            <w:tcBorders>
              <w:top w:val="single" w:sz="4" w:space="0" w:color="auto"/>
              <w:left w:val="nil"/>
              <w:bottom w:val="single" w:sz="4" w:space="0" w:color="auto"/>
              <w:right w:val="single" w:sz="4" w:space="0" w:color="auto"/>
            </w:tcBorders>
            <w:vAlign w:val="center"/>
          </w:tcPr>
          <w:p w:rsidR="00AE7D50" w:rsidRPr="00AD151D" w:rsidRDefault="00AE7D50" w:rsidP="006C5D7A">
            <w:pPr>
              <w:keepNext/>
              <w:keepLines/>
              <w:jc w:val="right"/>
              <w:rPr>
                <w:b/>
                <w:bCs/>
                <w:sz w:val="16"/>
                <w:szCs w:val="16"/>
              </w:rPr>
            </w:pPr>
            <w:r w:rsidRPr="00AD151D">
              <w:rPr>
                <w:b/>
                <w:bCs/>
                <w:sz w:val="16"/>
                <w:szCs w:val="16"/>
              </w:rPr>
              <w:t xml:space="preserve"> May </w:t>
            </w:r>
          </w:p>
        </w:tc>
        <w:tc>
          <w:tcPr>
            <w:tcW w:w="630" w:type="dxa"/>
            <w:tcBorders>
              <w:top w:val="single" w:sz="4" w:space="0" w:color="auto"/>
              <w:left w:val="nil"/>
              <w:bottom w:val="single" w:sz="4" w:space="0" w:color="auto"/>
              <w:right w:val="single" w:sz="4" w:space="0" w:color="auto"/>
            </w:tcBorders>
            <w:vAlign w:val="center"/>
          </w:tcPr>
          <w:p w:rsidR="00AE7D50" w:rsidRPr="00AD151D" w:rsidRDefault="00AE7D50" w:rsidP="006C5D7A">
            <w:pPr>
              <w:keepNext/>
              <w:keepLines/>
              <w:jc w:val="right"/>
              <w:rPr>
                <w:b/>
                <w:bCs/>
                <w:sz w:val="16"/>
                <w:szCs w:val="16"/>
              </w:rPr>
            </w:pPr>
            <w:r w:rsidRPr="00AD151D">
              <w:rPr>
                <w:b/>
                <w:bCs/>
                <w:sz w:val="16"/>
                <w:szCs w:val="16"/>
              </w:rPr>
              <w:t xml:space="preserve"> Jun </w:t>
            </w:r>
          </w:p>
        </w:tc>
        <w:tc>
          <w:tcPr>
            <w:tcW w:w="630" w:type="dxa"/>
            <w:tcBorders>
              <w:top w:val="single" w:sz="4" w:space="0" w:color="auto"/>
              <w:left w:val="nil"/>
              <w:bottom w:val="single" w:sz="4" w:space="0" w:color="auto"/>
              <w:right w:val="single" w:sz="4" w:space="0" w:color="auto"/>
            </w:tcBorders>
            <w:vAlign w:val="center"/>
          </w:tcPr>
          <w:p w:rsidR="00AE7D50" w:rsidRPr="00AD151D" w:rsidRDefault="00AE7D50" w:rsidP="006C5D7A">
            <w:pPr>
              <w:keepNext/>
              <w:keepLines/>
              <w:jc w:val="right"/>
              <w:rPr>
                <w:b/>
                <w:bCs/>
                <w:sz w:val="16"/>
                <w:szCs w:val="16"/>
              </w:rPr>
            </w:pPr>
            <w:r w:rsidRPr="00AD151D">
              <w:rPr>
                <w:b/>
                <w:bCs/>
                <w:sz w:val="16"/>
                <w:szCs w:val="16"/>
              </w:rPr>
              <w:t xml:space="preserve"> Jul </w:t>
            </w:r>
          </w:p>
        </w:tc>
        <w:tc>
          <w:tcPr>
            <w:tcW w:w="630" w:type="dxa"/>
            <w:tcBorders>
              <w:top w:val="single" w:sz="4" w:space="0" w:color="auto"/>
              <w:left w:val="nil"/>
              <w:bottom w:val="single" w:sz="4" w:space="0" w:color="auto"/>
              <w:right w:val="single" w:sz="4" w:space="0" w:color="auto"/>
            </w:tcBorders>
            <w:vAlign w:val="center"/>
          </w:tcPr>
          <w:p w:rsidR="00AE7D50" w:rsidRPr="00AD151D" w:rsidRDefault="00AE7D50" w:rsidP="006C5D7A">
            <w:pPr>
              <w:keepNext/>
              <w:keepLines/>
              <w:jc w:val="right"/>
              <w:rPr>
                <w:b/>
                <w:bCs/>
                <w:sz w:val="16"/>
                <w:szCs w:val="16"/>
              </w:rPr>
            </w:pPr>
            <w:r w:rsidRPr="00AD151D">
              <w:rPr>
                <w:b/>
                <w:bCs/>
                <w:sz w:val="16"/>
                <w:szCs w:val="16"/>
              </w:rPr>
              <w:t xml:space="preserve"> Aug </w:t>
            </w:r>
          </w:p>
        </w:tc>
        <w:tc>
          <w:tcPr>
            <w:tcW w:w="630" w:type="dxa"/>
            <w:tcBorders>
              <w:top w:val="single" w:sz="4" w:space="0" w:color="auto"/>
              <w:left w:val="nil"/>
              <w:bottom w:val="single" w:sz="4" w:space="0" w:color="auto"/>
              <w:right w:val="single" w:sz="4" w:space="0" w:color="auto"/>
            </w:tcBorders>
            <w:vAlign w:val="center"/>
          </w:tcPr>
          <w:p w:rsidR="00AE7D50" w:rsidRPr="00AD151D" w:rsidRDefault="00AE7D50" w:rsidP="006C5D7A">
            <w:pPr>
              <w:keepNext/>
              <w:keepLines/>
              <w:jc w:val="right"/>
              <w:rPr>
                <w:b/>
                <w:bCs/>
                <w:sz w:val="16"/>
                <w:szCs w:val="16"/>
              </w:rPr>
            </w:pPr>
            <w:r w:rsidRPr="00AD151D">
              <w:rPr>
                <w:b/>
                <w:bCs/>
                <w:sz w:val="16"/>
                <w:szCs w:val="16"/>
              </w:rPr>
              <w:t xml:space="preserve"> Sep </w:t>
            </w:r>
          </w:p>
        </w:tc>
        <w:tc>
          <w:tcPr>
            <w:tcW w:w="540" w:type="dxa"/>
            <w:tcBorders>
              <w:top w:val="single" w:sz="4" w:space="0" w:color="auto"/>
              <w:left w:val="nil"/>
              <w:bottom w:val="single" w:sz="4" w:space="0" w:color="auto"/>
              <w:right w:val="single" w:sz="4" w:space="0" w:color="auto"/>
            </w:tcBorders>
            <w:vAlign w:val="center"/>
          </w:tcPr>
          <w:p w:rsidR="00AE7D50" w:rsidRPr="00AD151D" w:rsidRDefault="00AE7D50" w:rsidP="006C5D7A">
            <w:pPr>
              <w:keepNext/>
              <w:keepLines/>
              <w:jc w:val="right"/>
              <w:rPr>
                <w:b/>
                <w:bCs/>
                <w:sz w:val="16"/>
                <w:szCs w:val="16"/>
              </w:rPr>
            </w:pPr>
            <w:r w:rsidRPr="00AD151D">
              <w:rPr>
                <w:b/>
                <w:bCs/>
                <w:sz w:val="16"/>
                <w:szCs w:val="16"/>
              </w:rPr>
              <w:t xml:space="preserve"> Oct </w:t>
            </w:r>
          </w:p>
        </w:tc>
        <w:tc>
          <w:tcPr>
            <w:tcW w:w="630" w:type="dxa"/>
            <w:tcBorders>
              <w:top w:val="single" w:sz="4" w:space="0" w:color="auto"/>
              <w:left w:val="nil"/>
              <w:bottom w:val="single" w:sz="4" w:space="0" w:color="auto"/>
              <w:right w:val="single" w:sz="4" w:space="0" w:color="auto"/>
            </w:tcBorders>
            <w:vAlign w:val="center"/>
          </w:tcPr>
          <w:p w:rsidR="00AE7D50" w:rsidRPr="00AD151D" w:rsidRDefault="00AE7D50" w:rsidP="006C5D7A">
            <w:pPr>
              <w:keepNext/>
              <w:keepLines/>
              <w:jc w:val="right"/>
              <w:rPr>
                <w:b/>
                <w:bCs/>
                <w:sz w:val="16"/>
                <w:szCs w:val="16"/>
              </w:rPr>
            </w:pPr>
            <w:r w:rsidRPr="00AD151D">
              <w:rPr>
                <w:b/>
                <w:bCs/>
                <w:sz w:val="16"/>
                <w:szCs w:val="16"/>
              </w:rPr>
              <w:t xml:space="preserve"> Nov </w:t>
            </w:r>
          </w:p>
        </w:tc>
        <w:tc>
          <w:tcPr>
            <w:tcW w:w="540" w:type="dxa"/>
            <w:tcBorders>
              <w:top w:val="single" w:sz="4" w:space="0" w:color="auto"/>
              <w:left w:val="nil"/>
              <w:bottom w:val="single" w:sz="4" w:space="0" w:color="auto"/>
              <w:right w:val="single" w:sz="4" w:space="0" w:color="auto"/>
            </w:tcBorders>
            <w:vAlign w:val="center"/>
          </w:tcPr>
          <w:p w:rsidR="00AE7D50" w:rsidRPr="00AD151D" w:rsidRDefault="00AE7D50" w:rsidP="006C5D7A">
            <w:pPr>
              <w:keepNext/>
              <w:keepLines/>
              <w:jc w:val="right"/>
              <w:rPr>
                <w:b/>
                <w:bCs/>
                <w:sz w:val="16"/>
                <w:szCs w:val="16"/>
              </w:rPr>
            </w:pPr>
            <w:r w:rsidRPr="00AD151D">
              <w:rPr>
                <w:b/>
                <w:bCs/>
                <w:sz w:val="16"/>
                <w:szCs w:val="16"/>
              </w:rPr>
              <w:t xml:space="preserve"> Dec </w:t>
            </w:r>
          </w:p>
        </w:tc>
      </w:tr>
      <w:tr w:rsidR="00E04B2C" w:rsidRPr="00AD151D" w:rsidTr="00C9687D">
        <w:trPr>
          <w:trHeight w:val="422"/>
        </w:trPr>
        <w:tc>
          <w:tcPr>
            <w:tcW w:w="1367" w:type="dxa"/>
            <w:tcBorders>
              <w:top w:val="nil"/>
              <w:left w:val="single" w:sz="4" w:space="0" w:color="auto"/>
              <w:bottom w:val="single" w:sz="4" w:space="0" w:color="auto"/>
              <w:right w:val="single" w:sz="4" w:space="0" w:color="auto"/>
            </w:tcBorders>
            <w:vAlign w:val="center"/>
          </w:tcPr>
          <w:p w:rsidR="00AE7D50" w:rsidRPr="00AD151D" w:rsidRDefault="00AE7D50" w:rsidP="006C5D7A">
            <w:pPr>
              <w:keepNext/>
              <w:keepLines/>
              <w:jc w:val="right"/>
              <w:rPr>
                <w:b/>
                <w:bCs/>
                <w:sz w:val="16"/>
                <w:szCs w:val="16"/>
              </w:rPr>
            </w:pPr>
            <w:r w:rsidRPr="00AD151D">
              <w:rPr>
                <w:b/>
                <w:bCs/>
                <w:sz w:val="16"/>
                <w:szCs w:val="16"/>
              </w:rPr>
              <w:t>2009 Compliance Year</w:t>
            </w:r>
          </w:p>
        </w:tc>
        <w:tc>
          <w:tcPr>
            <w:tcW w:w="580" w:type="dxa"/>
            <w:tcBorders>
              <w:top w:val="nil"/>
              <w:left w:val="nil"/>
              <w:bottom w:val="single" w:sz="4" w:space="0" w:color="auto"/>
              <w:right w:val="single" w:sz="4" w:space="0" w:color="auto"/>
            </w:tcBorders>
            <w:noWrap/>
            <w:vAlign w:val="center"/>
          </w:tcPr>
          <w:p w:rsidR="00AE7D50" w:rsidRPr="00AD151D" w:rsidRDefault="00AE7D50" w:rsidP="006C5D7A">
            <w:pPr>
              <w:keepNext/>
              <w:keepLines/>
              <w:jc w:val="right"/>
              <w:rPr>
                <w:sz w:val="16"/>
                <w:szCs w:val="16"/>
              </w:rPr>
            </w:pPr>
            <w:r w:rsidRPr="00AD151D">
              <w:rPr>
                <w:sz w:val="16"/>
                <w:szCs w:val="16"/>
              </w:rPr>
              <w:t xml:space="preserve">437 </w:t>
            </w:r>
          </w:p>
        </w:tc>
        <w:tc>
          <w:tcPr>
            <w:tcW w:w="630" w:type="dxa"/>
            <w:tcBorders>
              <w:top w:val="nil"/>
              <w:left w:val="nil"/>
              <w:bottom w:val="single" w:sz="4" w:space="0" w:color="auto"/>
              <w:right w:val="single" w:sz="4" w:space="0" w:color="auto"/>
            </w:tcBorders>
            <w:noWrap/>
            <w:vAlign w:val="center"/>
          </w:tcPr>
          <w:p w:rsidR="00AE7D50" w:rsidRPr="00AD151D" w:rsidRDefault="00AE7D50" w:rsidP="006C5D7A">
            <w:pPr>
              <w:keepNext/>
              <w:keepLines/>
              <w:jc w:val="right"/>
              <w:rPr>
                <w:sz w:val="16"/>
                <w:szCs w:val="16"/>
              </w:rPr>
            </w:pPr>
            <w:r w:rsidRPr="00AD151D">
              <w:rPr>
                <w:sz w:val="16"/>
                <w:szCs w:val="16"/>
              </w:rPr>
              <w:t xml:space="preserve">436 </w:t>
            </w:r>
          </w:p>
        </w:tc>
        <w:tc>
          <w:tcPr>
            <w:tcW w:w="540" w:type="dxa"/>
            <w:tcBorders>
              <w:top w:val="nil"/>
              <w:left w:val="nil"/>
              <w:bottom w:val="single" w:sz="4" w:space="0" w:color="auto"/>
              <w:right w:val="single" w:sz="4" w:space="0" w:color="auto"/>
            </w:tcBorders>
            <w:noWrap/>
            <w:vAlign w:val="center"/>
          </w:tcPr>
          <w:p w:rsidR="00AE7D50" w:rsidRPr="00AD151D" w:rsidRDefault="00AE7D50" w:rsidP="006C5D7A">
            <w:pPr>
              <w:keepNext/>
              <w:keepLines/>
              <w:jc w:val="right"/>
              <w:rPr>
                <w:sz w:val="16"/>
                <w:szCs w:val="16"/>
              </w:rPr>
            </w:pPr>
            <w:r w:rsidRPr="00AD151D">
              <w:rPr>
                <w:sz w:val="16"/>
                <w:szCs w:val="16"/>
              </w:rPr>
              <w:t xml:space="preserve">441 </w:t>
            </w:r>
          </w:p>
        </w:tc>
        <w:tc>
          <w:tcPr>
            <w:tcW w:w="540" w:type="dxa"/>
            <w:tcBorders>
              <w:top w:val="nil"/>
              <w:left w:val="nil"/>
              <w:bottom w:val="single" w:sz="4" w:space="0" w:color="auto"/>
              <w:right w:val="single" w:sz="4" w:space="0" w:color="auto"/>
            </w:tcBorders>
            <w:noWrap/>
            <w:vAlign w:val="center"/>
          </w:tcPr>
          <w:p w:rsidR="00AE7D50" w:rsidRPr="00AD151D" w:rsidRDefault="00AE7D50" w:rsidP="006C5D7A">
            <w:pPr>
              <w:keepNext/>
              <w:keepLines/>
              <w:jc w:val="right"/>
              <w:rPr>
                <w:sz w:val="16"/>
                <w:szCs w:val="16"/>
              </w:rPr>
            </w:pPr>
            <w:r w:rsidRPr="00AD151D">
              <w:rPr>
                <w:sz w:val="16"/>
                <w:szCs w:val="16"/>
              </w:rPr>
              <w:t xml:space="preserve">459 </w:t>
            </w:r>
          </w:p>
        </w:tc>
        <w:tc>
          <w:tcPr>
            <w:tcW w:w="630" w:type="dxa"/>
            <w:tcBorders>
              <w:top w:val="nil"/>
              <w:left w:val="nil"/>
              <w:bottom w:val="single" w:sz="4" w:space="0" w:color="auto"/>
              <w:right w:val="single" w:sz="4" w:space="0" w:color="auto"/>
            </w:tcBorders>
            <w:noWrap/>
            <w:vAlign w:val="center"/>
          </w:tcPr>
          <w:p w:rsidR="00AE7D50" w:rsidRPr="00AD151D" w:rsidRDefault="00AE7D50" w:rsidP="006C5D7A">
            <w:pPr>
              <w:keepNext/>
              <w:keepLines/>
              <w:jc w:val="right"/>
              <w:rPr>
                <w:sz w:val="16"/>
                <w:szCs w:val="16"/>
              </w:rPr>
            </w:pPr>
            <w:r w:rsidRPr="00AD151D">
              <w:rPr>
                <w:sz w:val="16"/>
                <w:szCs w:val="16"/>
              </w:rPr>
              <w:t xml:space="preserve">519 </w:t>
            </w:r>
          </w:p>
        </w:tc>
        <w:tc>
          <w:tcPr>
            <w:tcW w:w="630" w:type="dxa"/>
            <w:tcBorders>
              <w:top w:val="nil"/>
              <w:left w:val="nil"/>
              <w:bottom w:val="single" w:sz="4" w:space="0" w:color="auto"/>
              <w:right w:val="single" w:sz="4" w:space="0" w:color="auto"/>
            </w:tcBorders>
            <w:noWrap/>
            <w:vAlign w:val="center"/>
          </w:tcPr>
          <w:p w:rsidR="00AE7D50" w:rsidRPr="00AD151D" w:rsidRDefault="00AE7D50" w:rsidP="006C5D7A">
            <w:pPr>
              <w:keepNext/>
              <w:keepLines/>
              <w:jc w:val="right"/>
              <w:rPr>
                <w:sz w:val="16"/>
                <w:szCs w:val="16"/>
              </w:rPr>
            </w:pPr>
            <w:r w:rsidRPr="00AD151D">
              <w:rPr>
                <w:sz w:val="16"/>
                <w:szCs w:val="16"/>
              </w:rPr>
              <w:t xml:space="preserve">553 </w:t>
            </w:r>
          </w:p>
        </w:tc>
        <w:tc>
          <w:tcPr>
            <w:tcW w:w="630" w:type="dxa"/>
            <w:tcBorders>
              <w:top w:val="nil"/>
              <w:left w:val="nil"/>
              <w:bottom w:val="single" w:sz="4" w:space="0" w:color="auto"/>
              <w:right w:val="single" w:sz="4" w:space="0" w:color="auto"/>
            </w:tcBorders>
            <w:noWrap/>
            <w:vAlign w:val="center"/>
          </w:tcPr>
          <w:p w:rsidR="00AE7D50" w:rsidRPr="00AD151D" w:rsidRDefault="00AE7D50" w:rsidP="006C5D7A">
            <w:pPr>
              <w:keepNext/>
              <w:keepLines/>
              <w:jc w:val="right"/>
              <w:rPr>
                <w:sz w:val="16"/>
                <w:szCs w:val="16"/>
              </w:rPr>
            </w:pPr>
            <w:r w:rsidRPr="00AD151D">
              <w:rPr>
                <w:sz w:val="16"/>
                <w:szCs w:val="16"/>
              </w:rPr>
              <w:t xml:space="preserve">605 </w:t>
            </w:r>
          </w:p>
        </w:tc>
        <w:tc>
          <w:tcPr>
            <w:tcW w:w="630" w:type="dxa"/>
            <w:tcBorders>
              <w:top w:val="nil"/>
              <w:left w:val="nil"/>
              <w:bottom w:val="single" w:sz="4" w:space="0" w:color="auto"/>
              <w:right w:val="single" w:sz="4" w:space="0" w:color="auto"/>
            </w:tcBorders>
            <w:noWrap/>
            <w:vAlign w:val="center"/>
          </w:tcPr>
          <w:p w:rsidR="00AE7D50" w:rsidRPr="00AD151D" w:rsidRDefault="006F69DE" w:rsidP="006C5D7A">
            <w:pPr>
              <w:keepNext/>
              <w:keepLines/>
              <w:jc w:val="right"/>
              <w:rPr>
                <w:sz w:val="16"/>
                <w:szCs w:val="16"/>
              </w:rPr>
            </w:pPr>
            <w:r w:rsidRPr="00AD151D">
              <w:rPr>
                <w:sz w:val="16"/>
                <w:szCs w:val="16"/>
              </w:rPr>
              <w:t>-</w:t>
            </w:r>
            <w:r w:rsidR="00AE7D50" w:rsidRPr="00AD151D">
              <w:rPr>
                <w:sz w:val="16"/>
                <w:szCs w:val="16"/>
              </w:rPr>
              <w:t>188</w:t>
            </w:r>
          </w:p>
        </w:tc>
        <w:tc>
          <w:tcPr>
            <w:tcW w:w="630" w:type="dxa"/>
            <w:tcBorders>
              <w:top w:val="nil"/>
              <w:left w:val="nil"/>
              <w:bottom w:val="single" w:sz="4" w:space="0" w:color="auto"/>
              <w:right w:val="single" w:sz="4" w:space="0" w:color="auto"/>
            </w:tcBorders>
            <w:noWrap/>
            <w:vAlign w:val="center"/>
          </w:tcPr>
          <w:p w:rsidR="00AE7D50" w:rsidRPr="00AD151D" w:rsidRDefault="00AE7D50" w:rsidP="006C5D7A">
            <w:pPr>
              <w:keepNext/>
              <w:keepLines/>
              <w:jc w:val="right"/>
              <w:rPr>
                <w:sz w:val="16"/>
                <w:szCs w:val="16"/>
              </w:rPr>
            </w:pPr>
            <w:r w:rsidRPr="00AD151D">
              <w:rPr>
                <w:sz w:val="16"/>
                <w:szCs w:val="16"/>
              </w:rPr>
              <w:t xml:space="preserve">595 </w:t>
            </w:r>
          </w:p>
        </w:tc>
        <w:tc>
          <w:tcPr>
            <w:tcW w:w="540" w:type="dxa"/>
            <w:tcBorders>
              <w:top w:val="nil"/>
              <w:left w:val="nil"/>
              <w:bottom w:val="single" w:sz="4" w:space="0" w:color="auto"/>
              <w:right w:val="single" w:sz="4" w:space="0" w:color="auto"/>
            </w:tcBorders>
            <w:noWrap/>
            <w:vAlign w:val="center"/>
          </w:tcPr>
          <w:p w:rsidR="00AE7D50" w:rsidRPr="00AD151D" w:rsidRDefault="00AE7D50" w:rsidP="006C5D7A">
            <w:pPr>
              <w:keepNext/>
              <w:keepLines/>
              <w:jc w:val="right"/>
              <w:rPr>
                <w:sz w:val="16"/>
                <w:szCs w:val="16"/>
              </w:rPr>
            </w:pPr>
            <w:r w:rsidRPr="00AD151D">
              <w:rPr>
                <w:sz w:val="16"/>
                <w:szCs w:val="16"/>
              </w:rPr>
              <w:t xml:space="preserve">514 </w:t>
            </w:r>
          </w:p>
        </w:tc>
        <w:tc>
          <w:tcPr>
            <w:tcW w:w="630" w:type="dxa"/>
            <w:tcBorders>
              <w:top w:val="nil"/>
              <w:left w:val="nil"/>
              <w:bottom w:val="single" w:sz="4" w:space="0" w:color="auto"/>
              <w:right w:val="single" w:sz="4" w:space="0" w:color="auto"/>
            </w:tcBorders>
            <w:noWrap/>
            <w:vAlign w:val="center"/>
          </w:tcPr>
          <w:p w:rsidR="00AE7D50" w:rsidRPr="00AD151D" w:rsidRDefault="00AE7D50" w:rsidP="006C5D7A">
            <w:pPr>
              <w:keepNext/>
              <w:keepLines/>
              <w:jc w:val="right"/>
              <w:rPr>
                <w:sz w:val="16"/>
                <w:szCs w:val="16"/>
              </w:rPr>
            </w:pPr>
            <w:r w:rsidRPr="00AD151D">
              <w:rPr>
                <w:sz w:val="16"/>
                <w:szCs w:val="16"/>
              </w:rPr>
              <w:t xml:space="preserve">484 </w:t>
            </w:r>
          </w:p>
        </w:tc>
        <w:tc>
          <w:tcPr>
            <w:tcW w:w="540" w:type="dxa"/>
            <w:tcBorders>
              <w:top w:val="nil"/>
              <w:left w:val="nil"/>
              <w:bottom w:val="single" w:sz="4" w:space="0" w:color="auto"/>
              <w:right w:val="single" w:sz="4" w:space="0" w:color="auto"/>
            </w:tcBorders>
            <w:noWrap/>
            <w:vAlign w:val="center"/>
          </w:tcPr>
          <w:p w:rsidR="00AE7D50" w:rsidRPr="00AD151D" w:rsidRDefault="00AE7D50" w:rsidP="006C5D7A">
            <w:pPr>
              <w:keepNext/>
              <w:keepLines/>
              <w:jc w:val="right"/>
              <w:rPr>
                <w:sz w:val="16"/>
                <w:szCs w:val="16"/>
              </w:rPr>
            </w:pPr>
            <w:r w:rsidRPr="00AD151D">
              <w:rPr>
                <w:sz w:val="16"/>
                <w:szCs w:val="16"/>
              </w:rPr>
              <w:t xml:space="preserve">481 </w:t>
            </w:r>
          </w:p>
        </w:tc>
      </w:tr>
      <w:tr w:rsidR="00E04B2C" w:rsidRPr="00AD151D" w:rsidTr="00C9687D">
        <w:trPr>
          <w:trHeight w:val="449"/>
        </w:trPr>
        <w:tc>
          <w:tcPr>
            <w:tcW w:w="1367" w:type="dxa"/>
            <w:tcBorders>
              <w:top w:val="nil"/>
              <w:left w:val="single" w:sz="4" w:space="0" w:color="auto"/>
              <w:bottom w:val="single" w:sz="4" w:space="0" w:color="auto"/>
              <w:right w:val="nil"/>
            </w:tcBorders>
            <w:vAlign w:val="center"/>
          </w:tcPr>
          <w:p w:rsidR="00AE7D50" w:rsidRPr="00AD151D" w:rsidRDefault="00AE7D50" w:rsidP="006C5D7A">
            <w:pPr>
              <w:keepNext/>
              <w:keepLines/>
              <w:jc w:val="right"/>
              <w:rPr>
                <w:b/>
                <w:bCs/>
                <w:sz w:val="16"/>
                <w:szCs w:val="16"/>
              </w:rPr>
            </w:pPr>
            <w:r w:rsidRPr="00AD151D">
              <w:rPr>
                <w:b/>
                <w:bCs/>
                <w:sz w:val="16"/>
                <w:szCs w:val="16"/>
              </w:rPr>
              <w:t>2010 Compliance Year</w:t>
            </w:r>
          </w:p>
        </w:tc>
        <w:tc>
          <w:tcPr>
            <w:tcW w:w="580" w:type="dxa"/>
            <w:tcBorders>
              <w:top w:val="nil"/>
              <w:left w:val="single" w:sz="4" w:space="0" w:color="auto"/>
              <w:bottom w:val="single" w:sz="4" w:space="0" w:color="auto"/>
              <w:right w:val="single" w:sz="4" w:space="0" w:color="auto"/>
            </w:tcBorders>
            <w:noWrap/>
            <w:vAlign w:val="center"/>
          </w:tcPr>
          <w:p w:rsidR="00AE7D50" w:rsidRPr="00AD151D" w:rsidRDefault="00AE7D50" w:rsidP="006C5D7A">
            <w:pPr>
              <w:keepNext/>
              <w:keepLines/>
              <w:jc w:val="right"/>
              <w:rPr>
                <w:sz w:val="16"/>
                <w:szCs w:val="16"/>
              </w:rPr>
            </w:pPr>
            <w:r w:rsidRPr="00AD151D">
              <w:rPr>
                <w:sz w:val="16"/>
                <w:szCs w:val="16"/>
              </w:rPr>
              <w:t xml:space="preserve">50 </w:t>
            </w:r>
          </w:p>
        </w:tc>
        <w:tc>
          <w:tcPr>
            <w:tcW w:w="630" w:type="dxa"/>
            <w:tcBorders>
              <w:top w:val="nil"/>
              <w:left w:val="nil"/>
              <w:bottom w:val="single" w:sz="4" w:space="0" w:color="auto"/>
              <w:right w:val="single" w:sz="4" w:space="0" w:color="auto"/>
            </w:tcBorders>
            <w:noWrap/>
            <w:vAlign w:val="center"/>
          </w:tcPr>
          <w:p w:rsidR="00AE7D50" w:rsidRPr="00AD151D" w:rsidRDefault="00AE7D50" w:rsidP="006C5D7A">
            <w:pPr>
              <w:keepNext/>
              <w:keepLines/>
              <w:jc w:val="right"/>
              <w:rPr>
                <w:sz w:val="16"/>
                <w:szCs w:val="16"/>
              </w:rPr>
            </w:pPr>
            <w:r w:rsidRPr="00AD151D">
              <w:rPr>
                <w:sz w:val="16"/>
                <w:szCs w:val="16"/>
              </w:rPr>
              <w:t xml:space="preserve">48 </w:t>
            </w:r>
          </w:p>
        </w:tc>
        <w:tc>
          <w:tcPr>
            <w:tcW w:w="540" w:type="dxa"/>
            <w:tcBorders>
              <w:top w:val="nil"/>
              <w:left w:val="nil"/>
              <w:bottom w:val="single" w:sz="4" w:space="0" w:color="auto"/>
              <w:right w:val="single" w:sz="4" w:space="0" w:color="auto"/>
            </w:tcBorders>
            <w:noWrap/>
            <w:vAlign w:val="center"/>
          </w:tcPr>
          <w:p w:rsidR="00AE7D50" w:rsidRPr="00AD151D" w:rsidRDefault="00AE7D50" w:rsidP="006C5D7A">
            <w:pPr>
              <w:keepNext/>
              <w:keepLines/>
              <w:jc w:val="right"/>
              <w:rPr>
                <w:sz w:val="16"/>
                <w:szCs w:val="16"/>
              </w:rPr>
            </w:pPr>
            <w:r w:rsidRPr="00AD151D">
              <w:rPr>
                <w:sz w:val="16"/>
                <w:szCs w:val="16"/>
              </w:rPr>
              <w:t xml:space="preserve">19 </w:t>
            </w:r>
          </w:p>
        </w:tc>
        <w:tc>
          <w:tcPr>
            <w:tcW w:w="540" w:type="dxa"/>
            <w:tcBorders>
              <w:top w:val="nil"/>
              <w:left w:val="nil"/>
              <w:bottom w:val="single" w:sz="4" w:space="0" w:color="auto"/>
              <w:right w:val="single" w:sz="4" w:space="0" w:color="auto"/>
            </w:tcBorders>
            <w:noWrap/>
            <w:vAlign w:val="center"/>
          </w:tcPr>
          <w:p w:rsidR="00AE7D50" w:rsidRPr="00AD151D" w:rsidRDefault="00AE7D50" w:rsidP="006C5D7A">
            <w:pPr>
              <w:keepNext/>
              <w:keepLines/>
              <w:jc w:val="right"/>
              <w:rPr>
                <w:sz w:val="16"/>
                <w:szCs w:val="16"/>
              </w:rPr>
            </w:pPr>
            <w:r w:rsidRPr="00AD151D">
              <w:rPr>
                <w:sz w:val="16"/>
                <w:szCs w:val="16"/>
              </w:rPr>
              <w:t xml:space="preserve">65 </w:t>
            </w:r>
          </w:p>
        </w:tc>
        <w:tc>
          <w:tcPr>
            <w:tcW w:w="630" w:type="dxa"/>
            <w:tcBorders>
              <w:top w:val="nil"/>
              <w:left w:val="nil"/>
              <w:bottom w:val="single" w:sz="4" w:space="0" w:color="auto"/>
              <w:right w:val="single" w:sz="4" w:space="0" w:color="auto"/>
            </w:tcBorders>
            <w:noWrap/>
            <w:vAlign w:val="center"/>
          </w:tcPr>
          <w:p w:rsidR="00AE7D50" w:rsidRPr="00AD151D" w:rsidRDefault="00AE7D50" w:rsidP="006C5D7A">
            <w:pPr>
              <w:keepNext/>
              <w:keepLines/>
              <w:jc w:val="right"/>
              <w:rPr>
                <w:sz w:val="16"/>
                <w:szCs w:val="16"/>
              </w:rPr>
            </w:pPr>
            <w:r w:rsidRPr="00AD151D">
              <w:rPr>
                <w:sz w:val="16"/>
                <w:szCs w:val="16"/>
              </w:rPr>
              <w:t xml:space="preserve">21 </w:t>
            </w:r>
          </w:p>
        </w:tc>
        <w:tc>
          <w:tcPr>
            <w:tcW w:w="630" w:type="dxa"/>
            <w:tcBorders>
              <w:top w:val="nil"/>
              <w:left w:val="nil"/>
              <w:bottom w:val="single" w:sz="4" w:space="0" w:color="auto"/>
              <w:right w:val="single" w:sz="4" w:space="0" w:color="auto"/>
            </w:tcBorders>
            <w:noWrap/>
            <w:vAlign w:val="center"/>
          </w:tcPr>
          <w:p w:rsidR="00AE7D50" w:rsidRPr="00AD151D" w:rsidRDefault="00AE7D50" w:rsidP="006C5D7A">
            <w:pPr>
              <w:keepNext/>
              <w:keepLines/>
              <w:jc w:val="right"/>
              <w:rPr>
                <w:sz w:val="16"/>
                <w:szCs w:val="16"/>
              </w:rPr>
            </w:pPr>
            <w:r w:rsidRPr="00AD151D">
              <w:rPr>
                <w:sz w:val="16"/>
                <w:szCs w:val="16"/>
              </w:rPr>
              <w:t xml:space="preserve">22 </w:t>
            </w:r>
          </w:p>
        </w:tc>
        <w:tc>
          <w:tcPr>
            <w:tcW w:w="630" w:type="dxa"/>
            <w:tcBorders>
              <w:top w:val="nil"/>
              <w:left w:val="nil"/>
              <w:bottom w:val="single" w:sz="4" w:space="0" w:color="auto"/>
              <w:right w:val="single" w:sz="4" w:space="0" w:color="auto"/>
            </w:tcBorders>
            <w:noWrap/>
            <w:vAlign w:val="center"/>
          </w:tcPr>
          <w:p w:rsidR="00AE7D50" w:rsidRPr="00AD151D" w:rsidRDefault="00AE7D50" w:rsidP="006C5D7A">
            <w:pPr>
              <w:keepNext/>
              <w:keepLines/>
              <w:jc w:val="right"/>
              <w:rPr>
                <w:sz w:val="16"/>
                <w:szCs w:val="16"/>
              </w:rPr>
            </w:pPr>
            <w:r w:rsidRPr="00AD151D">
              <w:rPr>
                <w:sz w:val="16"/>
                <w:szCs w:val="16"/>
              </w:rPr>
              <w:t xml:space="preserve">225 </w:t>
            </w:r>
          </w:p>
        </w:tc>
        <w:tc>
          <w:tcPr>
            <w:tcW w:w="630" w:type="dxa"/>
            <w:tcBorders>
              <w:top w:val="nil"/>
              <w:left w:val="nil"/>
              <w:bottom w:val="single" w:sz="4" w:space="0" w:color="auto"/>
              <w:right w:val="single" w:sz="4" w:space="0" w:color="auto"/>
            </w:tcBorders>
            <w:noWrap/>
            <w:vAlign w:val="center"/>
          </w:tcPr>
          <w:p w:rsidR="00AE7D50" w:rsidRPr="00AD151D" w:rsidRDefault="006F69DE" w:rsidP="006C5D7A">
            <w:pPr>
              <w:keepNext/>
              <w:keepLines/>
              <w:jc w:val="right"/>
              <w:rPr>
                <w:sz w:val="16"/>
                <w:szCs w:val="16"/>
              </w:rPr>
            </w:pPr>
            <w:r w:rsidRPr="00AD151D">
              <w:rPr>
                <w:sz w:val="16"/>
                <w:szCs w:val="16"/>
              </w:rPr>
              <w:t>-44</w:t>
            </w:r>
          </w:p>
        </w:tc>
        <w:tc>
          <w:tcPr>
            <w:tcW w:w="630" w:type="dxa"/>
            <w:tcBorders>
              <w:top w:val="nil"/>
              <w:left w:val="nil"/>
              <w:bottom w:val="single" w:sz="4" w:space="0" w:color="auto"/>
              <w:right w:val="single" w:sz="4" w:space="0" w:color="auto"/>
            </w:tcBorders>
            <w:noWrap/>
            <w:vAlign w:val="center"/>
          </w:tcPr>
          <w:p w:rsidR="00AE7D50" w:rsidRPr="00AD151D" w:rsidRDefault="00AE7D50" w:rsidP="006C5D7A">
            <w:pPr>
              <w:keepNext/>
              <w:keepLines/>
              <w:jc w:val="right"/>
              <w:rPr>
                <w:sz w:val="16"/>
                <w:szCs w:val="16"/>
              </w:rPr>
            </w:pPr>
            <w:r w:rsidRPr="00AD151D">
              <w:rPr>
                <w:sz w:val="16"/>
                <w:szCs w:val="16"/>
              </w:rPr>
              <w:t xml:space="preserve">352 </w:t>
            </w:r>
          </w:p>
        </w:tc>
        <w:tc>
          <w:tcPr>
            <w:tcW w:w="540" w:type="dxa"/>
            <w:tcBorders>
              <w:top w:val="nil"/>
              <w:left w:val="nil"/>
              <w:bottom w:val="single" w:sz="4" w:space="0" w:color="auto"/>
              <w:right w:val="single" w:sz="4" w:space="0" w:color="auto"/>
            </w:tcBorders>
            <w:noWrap/>
            <w:vAlign w:val="center"/>
          </w:tcPr>
          <w:p w:rsidR="00AE7D50" w:rsidRPr="00AD151D" w:rsidRDefault="00AE7D50" w:rsidP="006C5D7A">
            <w:pPr>
              <w:keepNext/>
              <w:keepLines/>
              <w:jc w:val="right"/>
              <w:rPr>
                <w:sz w:val="16"/>
                <w:szCs w:val="16"/>
              </w:rPr>
            </w:pPr>
            <w:r w:rsidRPr="00AD151D">
              <w:rPr>
                <w:sz w:val="16"/>
                <w:szCs w:val="16"/>
              </w:rPr>
              <w:t xml:space="preserve">155 </w:t>
            </w:r>
          </w:p>
        </w:tc>
        <w:tc>
          <w:tcPr>
            <w:tcW w:w="630" w:type="dxa"/>
            <w:tcBorders>
              <w:top w:val="nil"/>
              <w:left w:val="nil"/>
              <w:bottom w:val="single" w:sz="4" w:space="0" w:color="auto"/>
              <w:right w:val="single" w:sz="4" w:space="0" w:color="auto"/>
            </w:tcBorders>
            <w:noWrap/>
            <w:vAlign w:val="center"/>
          </w:tcPr>
          <w:p w:rsidR="00AE7D50" w:rsidRPr="00AD151D" w:rsidRDefault="00AE7D50" w:rsidP="006C5D7A">
            <w:pPr>
              <w:keepNext/>
              <w:keepLines/>
              <w:jc w:val="right"/>
              <w:rPr>
                <w:sz w:val="16"/>
                <w:szCs w:val="16"/>
              </w:rPr>
            </w:pPr>
            <w:r w:rsidRPr="00AD151D">
              <w:rPr>
                <w:sz w:val="16"/>
                <w:szCs w:val="16"/>
              </w:rPr>
              <w:t xml:space="preserve">17 </w:t>
            </w:r>
          </w:p>
        </w:tc>
        <w:tc>
          <w:tcPr>
            <w:tcW w:w="540" w:type="dxa"/>
            <w:tcBorders>
              <w:top w:val="nil"/>
              <w:left w:val="nil"/>
              <w:bottom w:val="single" w:sz="4" w:space="0" w:color="auto"/>
              <w:right w:val="single" w:sz="4" w:space="0" w:color="auto"/>
            </w:tcBorders>
            <w:noWrap/>
            <w:vAlign w:val="center"/>
          </w:tcPr>
          <w:p w:rsidR="00AE7D50" w:rsidRPr="00AD151D" w:rsidRDefault="00AE7D50" w:rsidP="006C5D7A">
            <w:pPr>
              <w:keepNext/>
              <w:keepLines/>
              <w:jc w:val="right"/>
              <w:rPr>
                <w:sz w:val="16"/>
                <w:szCs w:val="16"/>
              </w:rPr>
            </w:pPr>
            <w:r w:rsidRPr="00AD151D">
              <w:rPr>
                <w:sz w:val="16"/>
                <w:szCs w:val="16"/>
              </w:rPr>
              <w:t xml:space="preserve">15 </w:t>
            </w:r>
          </w:p>
        </w:tc>
      </w:tr>
      <w:tr w:rsidR="00E04B2C" w:rsidRPr="00AD151D" w:rsidTr="00C9687D">
        <w:trPr>
          <w:trHeight w:val="421"/>
        </w:trPr>
        <w:tc>
          <w:tcPr>
            <w:tcW w:w="1367" w:type="dxa"/>
            <w:tcBorders>
              <w:top w:val="nil"/>
              <w:left w:val="single" w:sz="4" w:space="0" w:color="auto"/>
              <w:bottom w:val="single" w:sz="4" w:space="0" w:color="auto"/>
              <w:right w:val="single" w:sz="4" w:space="0" w:color="auto"/>
            </w:tcBorders>
            <w:noWrap/>
            <w:vAlign w:val="center"/>
          </w:tcPr>
          <w:p w:rsidR="00AE7D50" w:rsidRPr="00AD151D" w:rsidRDefault="00AE7D50" w:rsidP="006C5D7A">
            <w:pPr>
              <w:keepNext/>
              <w:keepLines/>
              <w:jc w:val="right"/>
              <w:rPr>
                <w:b/>
                <w:bCs/>
                <w:sz w:val="16"/>
                <w:szCs w:val="16"/>
              </w:rPr>
            </w:pPr>
            <w:r w:rsidRPr="00AD151D">
              <w:rPr>
                <w:b/>
                <w:bCs/>
                <w:sz w:val="16"/>
                <w:szCs w:val="16"/>
              </w:rPr>
              <w:t>2011 Compliance Year</w:t>
            </w:r>
          </w:p>
        </w:tc>
        <w:tc>
          <w:tcPr>
            <w:tcW w:w="580" w:type="dxa"/>
            <w:tcBorders>
              <w:top w:val="nil"/>
              <w:left w:val="nil"/>
              <w:bottom w:val="single" w:sz="4" w:space="0" w:color="auto"/>
              <w:right w:val="single" w:sz="4" w:space="0" w:color="auto"/>
            </w:tcBorders>
            <w:noWrap/>
            <w:vAlign w:val="center"/>
          </w:tcPr>
          <w:p w:rsidR="00AE7D50" w:rsidRPr="00AD151D" w:rsidRDefault="00E04B2C" w:rsidP="006C5D7A">
            <w:pPr>
              <w:keepNext/>
              <w:keepLines/>
              <w:jc w:val="right"/>
              <w:rPr>
                <w:sz w:val="16"/>
                <w:szCs w:val="16"/>
              </w:rPr>
            </w:pPr>
            <w:r w:rsidRPr="00AD151D">
              <w:rPr>
                <w:sz w:val="16"/>
                <w:szCs w:val="16"/>
              </w:rPr>
              <w:t>0</w:t>
            </w:r>
          </w:p>
        </w:tc>
        <w:tc>
          <w:tcPr>
            <w:tcW w:w="630" w:type="dxa"/>
            <w:tcBorders>
              <w:top w:val="nil"/>
              <w:left w:val="nil"/>
              <w:bottom w:val="single" w:sz="4" w:space="0" w:color="auto"/>
              <w:right w:val="single" w:sz="4" w:space="0" w:color="auto"/>
            </w:tcBorders>
            <w:noWrap/>
            <w:vAlign w:val="center"/>
          </w:tcPr>
          <w:p w:rsidR="00AE7D50" w:rsidRPr="00AD151D" w:rsidRDefault="00AE7D50" w:rsidP="006C5D7A">
            <w:pPr>
              <w:keepNext/>
              <w:keepLines/>
              <w:jc w:val="right"/>
              <w:rPr>
                <w:sz w:val="16"/>
                <w:szCs w:val="16"/>
              </w:rPr>
            </w:pPr>
            <w:r w:rsidRPr="00AD151D">
              <w:rPr>
                <w:sz w:val="16"/>
                <w:szCs w:val="16"/>
              </w:rPr>
              <w:t xml:space="preserve">28 </w:t>
            </w:r>
          </w:p>
        </w:tc>
        <w:tc>
          <w:tcPr>
            <w:tcW w:w="540" w:type="dxa"/>
            <w:tcBorders>
              <w:top w:val="nil"/>
              <w:left w:val="nil"/>
              <w:bottom w:val="single" w:sz="4" w:space="0" w:color="auto"/>
              <w:right w:val="single" w:sz="4" w:space="0" w:color="auto"/>
            </w:tcBorders>
            <w:noWrap/>
            <w:vAlign w:val="center"/>
          </w:tcPr>
          <w:p w:rsidR="00AE7D50" w:rsidRPr="00AD151D" w:rsidRDefault="00AE7D50" w:rsidP="006C5D7A">
            <w:pPr>
              <w:keepNext/>
              <w:keepLines/>
              <w:jc w:val="right"/>
              <w:rPr>
                <w:sz w:val="16"/>
                <w:szCs w:val="16"/>
              </w:rPr>
            </w:pPr>
            <w:r w:rsidRPr="00AD151D">
              <w:rPr>
                <w:sz w:val="16"/>
                <w:szCs w:val="16"/>
              </w:rPr>
              <w:t xml:space="preserve">38 </w:t>
            </w:r>
          </w:p>
        </w:tc>
        <w:tc>
          <w:tcPr>
            <w:tcW w:w="540" w:type="dxa"/>
            <w:tcBorders>
              <w:top w:val="nil"/>
              <w:left w:val="nil"/>
              <w:bottom w:val="single" w:sz="4" w:space="0" w:color="auto"/>
              <w:right w:val="single" w:sz="4" w:space="0" w:color="auto"/>
            </w:tcBorders>
            <w:noWrap/>
            <w:vAlign w:val="center"/>
          </w:tcPr>
          <w:p w:rsidR="00AE7D50" w:rsidRPr="00AD151D" w:rsidRDefault="00AE7D50" w:rsidP="006C5D7A">
            <w:pPr>
              <w:keepNext/>
              <w:keepLines/>
              <w:jc w:val="right"/>
              <w:rPr>
                <w:sz w:val="16"/>
                <w:szCs w:val="16"/>
              </w:rPr>
            </w:pPr>
            <w:r w:rsidRPr="00AD151D">
              <w:rPr>
                <w:sz w:val="16"/>
                <w:szCs w:val="16"/>
              </w:rPr>
              <w:t xml:space="preserve">39 </w:t>
            </w:r>
          </w:p>
        </w:tc>
        <w:tc>
          <w:tcPr>
            <w:tcW w:w="630" w:type="dxa"/>
            <w:tcBorders>
              <w:top w:val="nil"/>
              <w:left w:val="nil"/>
              <w:bottom w:val="single" w:sz="4" w:space="0" w:color="auto"/>
              <w:right w:val="single" w:sz="4" w:space="0" w:color="auto"/>
            </w:tcBorders>
            <w:noWrap/>
            <w:vAlign w:val="center"/>
          </w:tcPr>
          <w:p w:rsidR="00AE7D50" w:rsidRPr="00AD151D" w:rsidRDefault="00AE7D50" w:rsidP="006C5D7A">
            <w:pPr>
              <w:keepNext/>
              <w:keepLines/>
              <w:jc w:val="right"/>
              <w:rPr>
                <w:sz w:val="16"/>
                <w:szCs w:val="16"/>
              </w:rPr>
            </w:pPr>
            <w:r w:rsidRPr="00AD151D">
              <w:rPr>
                <w:sz w:val="16"/>
                <w:szCs w:val="16"/>
              </w:rPr>
              <w:t xml:space="preserve">161 </w:t>
            </w:r>
          </w:p>
        </w:tc>
        <w:tc>
          <w:tcPr>
            <w:tcW w:w="630" w:type="dxa"/>
            <w:tcBorders>
              <w:top w:val="nil"/>
              <w:left w:val="nil"/>
              <w:bottom w:val="single" w:sz="4" w:space="0" w:color="auto"/>
              <w:right w:val="single" w:sz="4" w:space="0" w:color="auto"/>
            </w:tcBorders>
            <w:noWrap/>
            <w:vAlign w:val="center"/>
          </w:tcPr>
          <w:p w:rsidR="00AE7D50" w:rsidRPr="00AD151D" w:rsidRDefault="00AE7D50" w:rsidP="006C5D7A">
            <w:pPr>
              <w:keepNext/>
              <w:keepLines/>
              <w:jc w:val="right"/>
              <w:rPr>
                <w:sz w:val="16"/>
                <w:szCs w:val="16"/>
              </w:rPr>
            </w:pPr>
            <w:r w:rsidRPr="00AD151D">
              <w:rPr>
                <w:sz w:val="16"/>
                <w:szCs w:val="16"/>
              </w:rPr>
              <w:t xml:space="preserve">210 </w:t>
            </w:r>
          </w:p>
        </w:tc>
        <w:tc>
          <w:tcPr>
            <w:tcW w:w="630" w:type="dxa"/>
            <w:tcBorders>
              <w:top w:val="nil"/>
              <w:left w:val="nil"/>
              <w:bottom w:val="single" w:sz="4" w:space="0" w:color="auto"/>
              <w:right w:val="single" w:sz="4" w:space="0" w:color="auto"/>
            </w:tcBorders>
            <w:noWrap/>
            <w:vAlign w:val="center"/>
          </w:tcPr>
          <w:p w:rsidR="00AE7D50" w:rsidRPr="00AD151D" w:rsidRDefault="00AE7D50" w:rsidP="006C5D7A">
            <w:pPr>
              <w:keepNext/>
              <w:keepLines/>
              <w:jc w:val="right"/>
              <w:rPr>
                <w:sz w:val="16"/>
                <w:szCs w:val="16"/>
              </w:rPr>
            </w:pPr>
            <w:r w:rsidRPr="00AD151D">
              <w:rPr>
                <w:sz w:val="16"/>
                <w:szCs w:val="16"/>
              </w:rPr>
              <w:t xml:space="preserve">1,381 </w:t>
            </w:r>
          </w:p>
        </w:tc>
        <w:tc>
          <w:tcPr>
            <w:tcW w:w="630" w:type="dxa"/>
            <w:tcBorders>
              <w:top w:val="nil"/>
              <w:left w:val="nil"/>
              <w:bottom w:val="single" w:sz="4" w:space="0" w:color="auto"/>
              <w:right w:val="single" w:sz="4" w:space="0" w:color="auto"/>
            </w:tcBorders>
            <w:noWrap/>
            <w:vAlign w:val="center"/>
          </w:tcPr>
          <w:p w:rsidR="00AE7D50" w:rsidRPr="00AD151D" w:rsidRDefault="00AE7D50" w:rsidP="006C5D7A">
            <w:pPr>
              <w:keepNext/>
              <w:keepLines/>
              <w:jc w:val="right"/>
              <w:rPr>
                <w:sz w:val="16"/>
                <w:szCs w:val="16"/>
              </w:rPr>
            </w:pPr>
            <w:r w:rsidRPr="00AD151D">
              <w:rPr>
                <w:sz w:val="16"/>
                <w:szCs w:val="16"/>
              </w:rPr>
              <w:t xml:space="preserve">115 </w:t>
            </w:r>
          </w:p>
        </w:tc>
        <w:tc>
          <w:tcPr>
            <w:tcW w:w="630" w:type="dxa"/>
            <w:tcBorders>
              <w:top w:val="nil"/>
              <w:left w:val="nil"/>
              <w:bottom w:val="single" w:sz="4" w:space="0" w:color="auto"/>
              <w:right w:val="single" w:sz="4" w:space="0" w:color="auto"/>
            </w:tcBorders>
            <w:noWrap/>
            <w:vAlign w:val="center"/>
          </w:tcPr>
          <w:p w:rsidR="00AE7D50" w:rsidRPr="00AD151D" w:rsidRDefault="00AE7D50" w:rsidP="006C5D7A">
            <w:pPr>
              <w:keepNext/>
              <w:keepLines/>
              <w:jc w:val="right"/>
              <w:rPr>
                <w:sz w:val="16"/>
                <w:szCs w:val="16"/>
              </w:rPr>
            </w:pPr>
            <w:r w:rsidRPr="00AD151D">
              <w:rPr>
                <w:sz w:val="16"/>
                <w:szCs w:val="16"/>
              </w:rPr>
              <w:t xml:space="preserve">1,256 </w:t>
            </w:r>
          </w:p>
        </w:tc>
        <w:tc>
          <w:tcPr>
            <w:tcW w:w="540" w:type="dxa"/>
            <w:tcBorders>
              <w:top w:val="nil"/>
              <w:left w:val="nil"/>
              <w:bottom w:val="single" w:sz="4" w:space="0" w:color="auto"/>
              <w:right w:val="single" w:sz="4" w:space="0" w:color="auto"/>
            </w:tcBorders>
            <w:noWrap/>
            <w:vAlign w:val="center"/>
          </w:tcPr>
          <w:p w:rsidR="00AE7D50" w:rsidRPr="00AD151D" w:rsidRDefault="00AE7D50" w:rsidP="006C5D7A">
            <w:pPr>
              <w:keepNext/>
              <w:keepLines/>
              <w:jc w:val="right"/>
              <w:rPr>
                <w:sz w:val="16"/>
                <w:szCs w:val="16"/>
              </w:rPr>
            </w:pPr>
            <w:r w:rsidRPr="00AD151D">
              <w:rPr>
                <w:sz w:val="16"/>
                <w:szCs w:val="16"/>
              </w:rPr>
              <w:t xml:space="preserve">42 </w:t>
            </w:r>
          </w:p>
        </w:tc>
        <w:tc>
          <w:tcPr>
            <w:tcW w:w="630" w:type="dxa"/>
            <w:tcBorders>
              <w:top w:val="nil"/>
              <w:left w:val="nil"/>
              <w:bottom w:val="single" w:sz="4" w:space="0" w:color="auto"/>
              <w:right w:val="single" w:sz="4" w:space="0" w:color="auto"/>
            </w:tcBorders>
            <w:noWrap/>
            <w:vAlign w:val="center"/>
          </w:tcPr>
          <w:p w:rsidR="00AE7D50" w:rsidRPr="00AD151D" w:rsidRDefault="00AE7D50" w:rsidP="006C5D7A">
            <w:pPr>
              <w:keepNext/>
              <w:keepLines/>
              <w:jc w:val="right"/>
              <w:rPr>
                <w:sz w:val="16"/>
                <w:szCs w:val="16"/>
              </w:rPr>
            </w:pPr>
            <w:r w:rsidRPr="00AD151D">
              <w:rPr>
                <w:sz w:val="16"/>
                <w:szCs w:val="16"/>
              </w:rPr>
              <w:t xml:space="preserve">33 </w:t>
            </w:r>
          </w:p>
        </w:tc>
        <w:tc>
          <w:tcPr>
            <w:tcW w:w="540" w:type="dxa"/>
            <w:tcBorders>
              <w:top w:val="nil"/>
              <w:left w:val="nil"/>
              <w:bottom w:val="single" w:sz="4" w:space="0" w:color="auto"/>
              <w:right w:val="single" w:sz="4" w:space="0" w:color="auto"/>
            </w:tcBorders>
            <w:noWrap/>
            <w:vAlign w:val="center"/>
          </w:tcPr>
          <w:p w:rsidR="00AE7D50" w:rsidRPr="00AD151D" w:rsidRDefault="00AE7D50" w:rsidP="006C5D7A">
            <w:pPr>
              <w:keepNext/>
              <w:keepLines/>
              <w:jc w:val="right"/>
              <w:rPr>
                <w:sz w:val="16"/>
                <w:szCs w:val="16"/>
              </w:rPr>
            </w:pPr>
            <w:r w:rsidRPr="00AD151D">
              <w:rPr>
                <w:sz w:val="16"/>
                <w:szCs w:val="16"/>
              </w:rPr>
              <w:t xml:space="preserve">66 </w:t>
            </w:r>
          </w:p>
        </w:tc>
      </w:tr>
      <w:tr w:rsidR="00E04B2C" w:rsidRPr="00AD151D" w:rsidTr="00C9687D">
        <w:trPr>
          <w:trHeight w:val="458"/>
        </w:trPr>
        <w:tc>
          <w:tcPr>
            <w:tcW w:w="1367" w:type="dxa"/>
            <w:tcBorders>
              <w:top w:val="nil"/>
              <w:left w:val="single" w:sz="4" w:space="0" w:color="auto"/>
              <w:bottom w:val="single" w:sz="4" w:space="0" w:color="auto"/>
              <w:right w:val="single" w:sz="4" w:space="0" w:color="auto"/>
            </w:tcBorders>
            <w:vAlign w:val="bottom"/>
          </w:tcPr>
          <w:p w:rsidR="00AE7D50" w:rsidRPr="00AD151D" w:rsidRDefault="00AE7D50" w:rsidP="006C5D7A">
            <w:pPr>
              <w:keepNext/>
              <w:keepLines/>
              <w:jc w:val="right"/>
              <w:rPr>
                <w:b/>
                <w:bCs/>
                <w:sz w:val="16"/>
                <w:szCs w:val="16"/>
              </w:rPr>
            </w:pPr>
            <w:r w:rsidRPr="00AD151D">
              <w:rPr>
                <w:b/>
                <w:bCs/>
                <w:sz w:val="16"/>
                <w:szCs w:val="16"/>
              </w:rPr>
              <w:t>Percentage increase/decrease 2010-2011</w:t>
            </w:r>
          </w:p>
        </w:tc>
        <w:tc>
          <w:tcPr>
            <w:tcW w:w="580" w:type="dxa"/>
            <w:tcBorders>
              <w:top w:val="nil"/>
              <w:left w:val="nil"/>
              <w:bottom w:val="single" w:sz="4" w:space="0" w:color="auto"/>
              <w:right w:val="single" w:sz="4" w:space="0" w:color="auto"/>
            </w:tcBorders>
            <w:noWrap/>
            <w:vAlign w:val="bottom"/>
          </w:tcPr>
          <w:p w:rsidR="00AE7D50" w:rsidRPr="00AD151D" w:rsidRDefault="00AE7D50" w:rsidP="006C5D7A">
            <w:pPr>
              <w:keepNext/>
              <w:keepLines/>
              <w:jc w:val="right"/>
              <w:rPr>
                <w:b/>
                <w:sz w:val="16"/>
                <w:szCs w:val="16"/>
              </w:rPr>
            </w:pPr>
            <w:r w:rsidRPr="00AD151D">
              <w:rPr>
                <w:b/>
                <w:sz w:val="16"/>
                <w:szCs w:val="16"/>
              </w:rPr>
              <w:t>-100%</w:t>
            </w:r>
          </w:p>
        </w:tc>
        <w:tc>
          <w:tcPr>
            <w:tcW w:w="630" w:type="dxa"/>
            <w:tcBorders>
              <w:top w:val="nil"/>
              <w:left w:val="nil"/>
              <w:bottom w:val="single" w:sz="4" w:space="0" w:color="auto"/>
              <w:right w:val="single" w:sz="4" w:space="0" w:color="auto"/>
            </w:tcBorders>
            <w:noWrap/>
            <w:vAlign w:val="bottom"/>
          </w:tcPr>
          <w:p w:rsidR="00AE7D50" w:rsidRPr="00AD151D" w:rsidRDefault="00AE7D50" w:rsidP="006C5D7A">
            <w:pPr>
              <w:keepNext/>
              <w:keepLines/>
              <w:jc w:val="right"/>
              <w:rPr>
                <w:b/>
                <w:sz w:val="16"/>
                <w:szCs w:val="16"/>
              </w:rPr>
            </w:pPr>
            <w:r w:rsidRPr="00AD151D">
              <w:rPr>
                <w:b/>
                <w:sz w:val="16"/>
                <w:szCs w:val="16"/>
              </w:rPr>
              <w:t>-41%</w:t>
            </w:r>
          </w:p>
        </w:tc>
        <w:tc>
          <w:tcPr>
            <w:tcW w:w="540" w:type="dxa"/>
            <w:tcBorders>
              <w:top w:val="nil"/>
              <w:left w:val="nil"/>
              <w:bottom w:val="single" w:sz="4" w:space="0" w:color="auto"/>
              <w:right w:val="single" w:sz="4" w:space="0" w:color="auto"/>
            </w:tcBorders>
            <w:noWrap/>
            <w:vAlign w:val="bottom"/>
          </w:tcPr>
          <w:p w:rsidR="00AE7D50" w:rsidRPr="00AD151D" w:rsidRDefault="00AE7D50" w:rsidP="006C5D7A">
            <w:pPr>
              <w:keepNext/>
              <w:keepLines/>
              <w:jc w:val="right"/>
              <w:rPr>
                <w:b/>
                <w:sz w:val="16"/>
                <w:szCs w:val="16"/>
              </w:rPr>
            </w:pPr>
            <w:r w:rsidRPr="00AD151D">
              <w:rPr>
                <w:b/>
                <w:sz w:val="16"/>
                <w:szCs w:val="16"/>
              </w:rPr>
              <w:t>103%</w:t>
            </w:r>
          </w:p>
        </w:tc>
        <w:tc>
          <w:tcPr>
            <w:tcW w:w="540" w:type="dxa"/>
            <w:tcBorders>
              <w:top w:val="nil"/>
              <w:left w:val="nil"/>
              <w:bottom w:val="single" w:sz="4" w:space="0" w:color="auto"/>
              <w:right w:val="single" w:sz="4" w:space="0" w:color="auto"/>
            </w:tcBorders>
            <w:noWrap/>
            <w:vAlign w:val="bottom"/>
          </w:tcPr>
          <w:p w:rsidR="00AE7D50" w:rsidRPr="00AD151D" w:rsidRDefault="00AE7D50" w:rsidP="006C5D7A">
            <w:pPr>
              <w:keepNext/>
              <w:keepLines/>
              <w:jc w:val="right"/>
              <w:rPr>
                <w:b/>
                <w:sz w:val="16"/>
                <w:szCs w:val="16"/>
              </w:rPr>
            </w:pPr>
            <w:r w:rsidRPr="00AD151D">
              <w:rPr>
                <w:b/>
                <w:sz w:val="16"/>
                <w:szCs w:val="16"/>
              </w:rPr>
              <w:t>-40%</w:t>
            </w:r>
          </w:p>
        </w:tc>
        <w:tc>
          <w:tcPr>
            <w:tcW w:w="630" w:type="dxa"/>
            <w:tcBorders>
              <w:top w:val="nil"/>
              <w:left w:val="nil"/>
              <w:bottom w:val="single" w:sz="4" w:space="0" w:color="auto"/>
              <w:right w:val="single" w:sz="4" w:space="0" w:color="auto"/>
            </w:tcBorders>
            <w:noWrap/>
            <w:vAlign w:val="bottom"/>
          </w:tcPr>
          <w:p w:rsidR="00AE7D50" w:rsidRPr="00AD151D" w:rsidRDefault="00AE7D50" w:rsidP="006C5D7A">
            <w:pPr>
              <w:keepNext/>
              <w:keepLines/>
              <w:jc w:val="right"/>
              <w:rPr>
                <w:b/>
                <w:sz w:val="16"/>
                <w:szCs w:val="16"/>
              </w:rPr>
            </w:pPr>
            <w:r w:rsidRPr="00AD151D">
              <w:rPr>
                <w:b/>
                <w:sz w:val="16"/>
                <w:szCs w:val="16"/>
              </w:rPr>
              <w:t>674%</w:t>
            </w:r>
          </w:p>
        </w:tc>
        <w:tc>
          <w:tcPr>
            <w:tcW w:w="630" w:type="dxa"/>
            <w:tcBorders>
              <w:top w:val="nil"/>
              <w:left w:val="nil"/>
              <w:bottom w:val="single" w:sz="4" w:space="0" w:color="auto"/>
              <w:right w:val="single" w:sz="4" w:space="0" w:color="auto"/>
            </w:tcBorders>
            <w:noWrap/>
            <w:vAlign w:val="bottom"/>
          </w:tcPr>
          <w:p w:rsidR="00AE7D50" w:rsidRPr="00AD151D" w:rsidRDefault="00AE7D50" w:rsidP="006C5D7A">
            <w:pPr>
              <w:keepNext/>
              <w:keepLines/>
              <w:jc w:val="right"/>
              <w:rPr>
                <w:b/>
                <w:sz w:val="16"/>
                <w:szCs w:val="16"/>
              </w:rPr>
            </w:pPr>
            <w:r w:rsidRPr="00AD151D">
              <w:rPr>
                <w:b/>
                <w:sz w:val="16"/>
                <w:szCs w:val="16"/>
              </w:rPr>
              <w:t>853%</w:t>
            </w:r>
          </w:p>
        </w:tc>
        <w:tc>
          <w:tcPr>
            <w:tcW w:w="630" w:type="dxa"/>
            <w:tcBorders>
              <w:top w:val="nil"/>
              <w:left w:val="nil"/>
              <w:bottom w:val="single" w:sz="4" w:space="0" w:color="auto"/>
              <w:right w:val="single" w:sz="4" w:space="0" w:color="auto"/>
            </w:tcBorders>
            <w:noWrap/>
            <w:vAlign w:val="bottom"/>
          </w:tcPr>
          <w:p w:rsidR="00AE7D50" w:rsidRPr="00AD151D" w:rsidRDefault="00AE7D50" w:rsidP="006C5D7A">
            <w:pPr>
              <w:keepNext/>
              <w:keepLines/>
              <w:jc w:val="right"/>
              <w:rPr>
                <w:b/>
                <w:sz w:val="16"/>
                <w:szCs w:val="16"/>
              </w:rPr>
            </w:pPr>
            <w:r w:rsidRPr="00AD151D">
              <w:rPr>
                <w:b/>
                <w:sz w:val="16"/>
                <w:szCs w:val="16"/>
              </w:rPr>
              <w:t>515%</w:t>
            </w:r>
          </w:p>
        </w:tc>
        <w:tc>
          <w:tcPr>
            <w:tcW w:w="630" w:type="dxa"/>
            <w:tcBorders>
              <w:top w:val="nil"/>
              <w:left w:val="nil"/>
              <w:bottom w:val="single" w:sz="4" w:space="0" w:color="auto"/>
              <w:right w:val="single" w:sz="4" w:space="0" w:color="auto"/>
            </w:tcBorders>
            <w:noWrap/>
            <w:vAlign w:val="bottom"/>
          </w:tcPr>
          <w:p w:rsidR="00AE7D50" w:rsidRPr="00AD151D" w:rsidRDefault="00DD697B" w:rsidP="006C5D7A">
            <w:pPr>
              <w:keepNext/>
              <w:keepLines/>
              <w:jc w:val="right"/>
              <w:rPr>
                <w:b/>
                <w:sz w:val="16"/>
                <w:szCs w:val="16"/>
              </w:rPr>
            </w:pPr>
            <w:r w:rsidRPr="00AD151D">
              <w:rPr>
                <w:b/>
                <w:sz w:val="16"/>
                <w:szCs w:val="16"/>
              </w:rPr>
              <w:t>364%</w:t>
            </w:r>
          </w:p>
        </w:tc>
        <w:tc>
          <w:tcPr>
            <w:tcW w:w="630" w:type="dxa"/>
            <w:tcBorders>
              <w:top w:val="nil"/>
              <w:left w:val="nil"/>
              <w:bottom w:val="single" w:sz="4" w:space="0" w:color="auto"/>
              <w:right w:val="single" w:sz="4" w:space="0" w:color="auto"/>
            </w:tcBorders>
            <w:noWrap/>
            <w:vAlign w:val="bottom"/>
          </w:tcPr>
          <w:p w:rsidR="00AE7D50" w:rsidRPr="00AD151D" w:rsidRDefault="00AE7D50" w:rsidP="006C5D7A">
            <w:pPr>
              <w:keepNext/>
              <w:keepLines/>
              <w:jc w:val="right"/>
              <w:rPr>
                <w:b/>
                <w:sz w:val="16"/>
                <w:szCs w:val="16"/>
              </w:rPr>
            </w:pPr>
            <w:r w:rsidRPr="00AD151D">
              <w:rPr>
                <w:b/>
                <w:sz w:val="16"/>
                <w:szCs w:val="16"/>
              </w:rPr>
              <w:t>257%</w:t>
            </w:r>
          </w:p>
        </w:tc>
        <w:tc>
          <w:tcPr>
            <w:tcW w:w="540" w:type="dxa"/>
            <w:tcBorders>
              <w:top w:val="nil"/>
              <w:left w:val="nil"/>
              <w:bottom w:val="single" w:sz="4" w:space="0" w:color="auto"/>
              <w:right w:val="single" w:sz="4" w:space="0" w:color="auto"/>
            </w:tcBorders>
            <w:noWrap/>
            <w:vAlign w:val="bottom"/>
          </w:tcPr>
          <w:p w:rsidR="00AE7D50" w:rsidRPr="00AD151D" w:rsidRDefault="00AE7D50" w:rsidP="006C5D7A">
            <w:pPr>
              <w:keepNext/>
              <w:keepLines/>
              <w:jc w:val="right"/>
              <w:rPr>
                <w:b/>
                <w:sz w:val="16"/>
                <w:szCs w:val="16"/>
              </w:rPr>
            </w:pPr>
            <w:r w:rsidRPr="00AD151D">
              <w:rPr>
                <w:b/>
                <w:sz w:val="16"/>
                <w:szCs w:val="16"/>
              </w:rPr>
              <w:t>-73%</w:t>
            </w:r>
          </w:p>
        </w:tc>
        <w:tc>
          <w:tcPr>
            <w:tcW w:w="630" w:type="dxa"/>
            <w:tcBorders>
              <w:top w:val="nil"/>
              <w:left w:val="nil"/>
              <w:bottom w:val="single" w:sz="4" w:space="0" w:color="auto"/>
              <w:right w:val="single" w:sz="4" w:space="0" w:color="auto"/>
            </w:tcBorders>
            <w:noWrap/>
            <w:vAlign w:val="bottom"/>
          </w:tcPr>
          <w:p w:rsidR="00AE7D50" w:rsidRPr="00AD151D" w:rsidRDefault="00AE7D50" w:rsidP="006C5D7A">
            <w:pPr>
              <w:keepNext/>
              <w:keepLines/>
              <w:jc w:val="right"/>
              <w:rPr>
                <w:b/>
                <w:sz w:val="16"/>
                <w:szCs w:val="16"/>
              </w:rPr>
            </w:pPr>
            <w:r w:rsidRPr="00AD151D">
              <w:rPr>
                <w:b/>
                <w:sz w:val="16"/>
                <w:szCs w:val="16"/>
              </w:rPr>
              <w:t>96%</w:t>
            </w:r>
          </w:p>
        </w:tc>
        <w:tc>
          <w:tcPr>
            <w:tcW w:w="540" w:type="dxa"/>
            <w:tcBorders>
              <w:top w:val="nil"/>
              <w:left w:val="nil"/>
              <w:bottom w:val="single" w:sz="4" w:space="0" w:color="auto"/>
              <w:right w:val="single" w:sz="4" w:space="0" w:color="auto"/>
            </w:tcBorders>
            <w:noWrap/>
            <w:vAlign w:val="bottom"/>
          </w:tcPr>
          <w:p w:rsidR="00AE7D50" w:rsidRPr="00AD151D" w:rsidRDefault="00AE7D50" w:rsidP="006C5D7A">
            <w:pPr>
              <w:keepNext/>
              <w:keepLines/>
              <w:jc w:val="right"/>
              <w:rPr>
                <w:b/>
                <w:sz w:val="16"/>
                <w:szCs w:val="16"/>
              </w:rPr>
            </w:pPr>
            <w:r w:rsidRPr="00AD151D">
              <w:rPr>
                <w:b/>
                <w:sz w:val="16"/>
                <w:szCs w:val="16"/>
              </w:rPr>
              <w:t>349%</w:t>
            </w:r>
          </w:p>
        </w:tc>
      </w:tr>
    </w:tbl>
    <w:p w:rsidR="00AE7D50" w:rsidRPr="00AD151D" w:rsidRDefault="00AE7D50" w:rsidP="00AF07E7">
      <w:pPr>
        <w:keepNext/>
        <w:keepLines/>
        <w:rPr>
          <w:sz w:val="20"/>
          <w:szCs w:val="20"/>
        </w:rPr>
      </w:pPr>
      <w:r w:rsidRPr="00AD151D">
        <w:rPr>
          <w:sz w:val="20"/>
          <w:szCs w:val="20"/>
        </w:rPr>
        <w:t>Source: Aggregated year-Ahead CEC load forecasts 2009-2011</w:t>
      </w:r>
    </w:p>
    <w:p w:rsidR="00AE7D50" w:rsidRPr="00AD151D" w:rsidRDefault="00AE7D50">
      <w:pPr>
        <w:pStyle w:val="Heading3"/>
        <w:keepNext w:val="0"/>
        <w:widowControl w:val="0"/>
        <w:numPr>
          <w:ilvl w:val="2"/>
          <w:numId w:val="18"/>
        </w:numPr>
      </w:pPr>
      <w:bookmarkStart w:id="37" w:name="_Toc347827045"/>
      <w:r w:rsidRPr="00AD151D">
        <w:t>Monthly Load Migration Adjustments</w:t>
      </w:r>
      <w:bookmarkEnd w:id="37"/>
      <w:r w:rsidRPr="00AD151D">
        <w:t xml:space="preserve"> </w:t>
      </w:r>
      <w:bookmarkEnd w:id="34"/>
    </w:p>
    <w:p w:rsidR="00DD697B" w:rsidRDefault="00DD697B" w:rsidP="00277DC8">
      <w:pPr>
        <w:spacing w:before="120"/>
        <w:ind w:firstLine="720"/>
      </w:pPr>
      <w:r w:rsidRPr="00AD151D">
        <w:t xml:space="preserve">The graph in Figure 1 </w:t>
      </w:r>
      <w:r w:rsidR="000A0C48" w:rsidRPr="00AD151D">
        <w:t xml:space="preserve">illustrates the trend in monthly net migration adjustments to LSE forecasts during compliance years 2007-2011.  There was a significant decrease in net load adjustments from 2007 until 2010, and then a significant increase in net migration adjustments in 2011.  </w:t>
      </w:r>
      <w:r w:rsidR="00C909A8" w:rsidRPr="00AD151D">
        <w:t xml:space="preserve">This is a significant increase from the monthly load adjustment range of 93 to 268 MW during 2010 and of 283 to 425 MW during 2009.   </w:t>
      </w:r>
      <w:r w:rsidR="000A0C48" w:rsidRPr="00AD151D">
        <w:t xml:space="preserve">This significant increase </w:t>
      </w:r>
      <w:r w:rsidR="00C909A8" w:rsidRPr="00AD151D">
        <w:t xml:space="preserve">correlates with </w:t>
      </w:r>
      <w:r w:rsidR="000A0C48" w:rsidRPr="00AD151D">
        <w:t xml:space="preserve">the 2010 reopening of Direct Access (DA), </w:t>
      </w:r>
      <w:r w:rsidR="00C909A8" w:rsidRPr="00AD151D">
        <w:t xml:space="preserve">which may have </w:t>
      </w:r>
      <w:r w:rsidR="000A0C48" w:rsidRPr="00AD151D">
        <w:t xml:space="preserve">caused a large amount of uncertainty regarding customer migration.  </w:t>
      </w:r>
    </w:p>
    <w:p w:rsidR="000A0C48" w:rsidRPr="00F669D6" w:rsidRDefault="000A0C48" w:rsidP="00F669D6">
      <w:pPr>
        <w:pStyle w:val="Caption"/>
        <w:keepNext/>
        <w:keepLines/>
        <w:spacing w:before="120"/>
        <w:rPr>
          <w:noProof/>
        </w:rPr>
      </w:pPr>
      <w:bookmarkStart w:id="38" w:name="_Ref347303515"/>
      <w:bookmarkStart w:id="39" w:name="_Toc347827090"/>
      <w:r w:rsidRPr="00F669D6">
        <w:t xml:space="preserve">Figure </w:t>
      </w:r>
      <w:r w:rsidRPr="00F669D6">
        <w:rPr>
          <w:rStyle w:val="CaptionChar"/>
          <w:sz w:val="22"/>
          <w:szCs w:val="22"/>
        </w:rPr>
        <w:fldChar w:fldCharType="begin"/>
      </w:r>
      <w:r w:rsidRPr="00F669D6">
        <w:rPr>
          <w:rStyle w:val="CaptionChar"/>
          <w:sz w:val="22"/>
          <w:szCs w:val="22"/>
        </w:rPr>
        <w:instrText xml:space="preserve"> SEQ Figure \* ARABIC </w:instrText>
      </w:r>
      <w:r w:rsidRPr="00F669D6">
        <w:rPr>
          <w:rStyle w:val="CaptionChar"/>
          <w:sz w:val="22"/>
          <w:szCs w:val="22"/>
        </w:rPr>
        <w:fldChar w:fldCharType="separate"/>
      </w:r>
      <w:r w:rsidR="00B3535E">
        <w:rPr>
          <w:rStyle w:val="CaptionChar"/>
          <w:noProof/>
          <w:sz w:val="22"/>
          <w:szCs w:val="22"/>
        </w:rPr>
        <w:t>1</w:t>
      </w:r>
      <w:r w:rsidRPr="00F669D6">
        <w:rPr>
          <w:rStyle w:val="CaptionChar"/>
          <w:sz w:val="22"/>
          <w:szCs w:val="22"/>
        </w:rPr>
        <w:fldChar w:fldCharType="end"/>
      </w:r>
      <w:bookmarkEnd w:id="38"/>
      <w:r w:rsidRPr="00F669D6">
        <w:t>. Monthly Net Migration Adjustments from 2007-2011</w:t>
      </w:r>
      <w:bookmarkEnd w:id="39"/>
    </w:p>
    <w:p w:rsidR="00F669D6" w:rsidRDefault="00DA6508" w:rsidP="00F669D6">
      <w:pPr>
        <w:keepNext/>
        <w:keepLines/>
        <w:spacing w:before="120"/>
        <w:rPr>
          <w:noProof/>
          <w:sz w:val="20"/>
          <w:szCs w:val="20"/>
        </w:rPr>
      </w:pPr>
      <w:r>
        <w:rPr>
          <w:noProof/>
          <w:sz w:val="20"/>
          <w:szCs w:val="20"/>
        </w:rPr>
        <w:drawing>
          <wp:inline distT="0" distB="0" distL="0" distR="0" wp14:anchorId="5BBF0B91">
            <wp:extent cx="5113020" cy="2221226"/>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3020" cy="2221226"/>
                    </a:xfrm>
                    <a:prstGeom prst="rect">
                      <a:avLst/>
                    </a:prstGeom>
                    <a:noFill/>
                  </pic:spPr>
                </pic:pic>
              </a:graphicData>
            </a:graphic>
          </wp:inline>
        </w:drawing>
      </w:r>
    </w:p>
    <w:p w:rsidR="000A0C48" w:rsidRPr="00AD151D" w:rsidRDefault="000A0C48" w:rsidP="00F669D6">
      <w:pPr>
        <w:keepNext/>
        <w:keepLines/>
        <w:spacing w:before="120"/>
        <w:rPr>
          <w:noProof/>
          <w:sz w:val="20"/>
          <w:szCs w:val="20"/>
        </w:rPr>
      </w:pPr>
      <w:r w:rsidRPr="00AD151D">
        <w:rPr>
          <w:noProof/>
          <w:sz w:val="20"/>
          <w:szCs w:val="20"/>
        </w:rPr>
        <w:t>Source: Monthly Forecast adjustments submitted by LSEs, 2007-2011</w:t>
      </w:r>
    </w:p>
    <w:p w:rsidR="00AE7D50" w:rsidRPr="00AD151D" w:rsidRDefault="0057084E" w:rsidP="00F669D6">
      <w:pPr>
        <w:widowControl w:val="0"/>
        <w:spacing w:before="120"/>
        <w:ind w:firstLine="720"/>
      </w:pPr>
      <w:r w:rsidRPr="00AD151D">
        <w:fldChar w:fldCharType="begin"/>
      </w:r>
      <w:r w:rsidRPr="00AD151D">
        <w:instrText xml:space="preserve"> REF _Ref346876261 \h </w:instrText>
      </w:r>
      <w:r w:rsidR="00AB1C92" w:rsidRPr="00AD151D">
        <w:instrText xml:space="preserve"> \* MERGEFORMAT </w:instrText>
      </w:r>
      <w:r w:rsidRPr="00AD151D">
        <w:fldChar w:fldCharType="separate"/>
      </w:r>
      <w:r w:rsidR="00B3535E" w:rsidRPr="00B3535E">
        <w:rPr>
          <w:bCs/>
        </w:rPr>
        <w:t xml:space="preserve">Table </w:t>
      </w:r>
      <w:r w:rsidR="00B3535E" w:rsidRPr="00B3535E">
        <w:rPr>
          <w:bCs/>
          <w:noProof/>
        </w:rPr>
        <w:t>3</w:t>
      </w:r>
      <w:r w:rsidRPr="00AD151D">
        <w:fldChar w:fldCharType="end"/>
      </w:r>
      <w:r w:rsidR="00AE7D50" w:rsidRPr="00AD151D">
        <w:t xml:space="preserve"> shows </w:t>
      </w:r>
      <w:r w:rsidR="00C909A8" w:rsidRPr="00AD151D">
        <w:t xml:space="preserve">the progression of the load forecast process in 2011, from initial </w:t>
      </w:r>
      <w:r w:rsidR="00C909A8" w:rsidRPr="00AD151D">
        <w:lastRenderedPageBreak/>
        <w:t xml:space="preserve">forecasts sent in July to final monthly load forecasts used for RA obligations.  The </w:t>
      </w:r>
      <w:r w:rsidR="00AE7D50" w:rsidRPr="00AD151D">
        <w:t>monthly load forecast adjustments ranging between 226 and 717</w:t>
      </w:r>
      <w:r w:rsidR="00C06A81">
        <w:t xml:space="preserve"> </w:t>
      </w:r>
      <w:r w:rsidR="00AE7D50" w:rsidRPr="00AD151D">
        <w:t xml:space="preserve">MW in 2011.  </w:t>
      </w:r>
      <w:bookmarkStart w:id="40" w:name="_Ref155768903"/>
      <w:bookmarkStart w:id="41" w:name="_Ref193695297"/>
    </w:p>
    <w:p w:rsidR="00AE7D50" w:rsidRPr="00AD151D" w:rsidRDefault="00AE7D50" w:rsidP="00FB2ADC">
      <w:pPr>
        <w:pStyle w:val="Caption"/>
        <w:keepNext/>
        <w:keepLines/>
        <w:spacing w:before="120"/>
        <w:rPr>
          <w:bCs w:val="0"/>
          <w:sz w:val="22"/>
        </w:rPr>
      </w:pPr>
      <w:bookmarkStart w:id="42" w:name="_Ref346876261"/>
      <w:bookmarkStart w:id="43" w:name="_Toc347827073"/>
      <w:bookmarkEnd w:id="40"/>
      <w:bookmarkEnd w:id="41"/>
      <w:r w:rsidRPr="00AD151D">
        <w:rPr>
          <w:bCs w:val="0"/>
          <w:sz w:val="22"/>
        </w:rPr>
        <w:t xml:space="preserve">Table </w:t>
      </w:r>
      <w:r w:rsidRPr="00AD151D">
        <w:rPr>
          <w:bCs w:val="0"/>
          <w:sz w:val="22"/>
        </w:rPr>
        <w:fldChar w:fldCharType="begin"/>
      </w:r>
      <w:r w:rsidRPr="00AD151D">
        <w:rPr>
          <w:bCs w:val="0"/>
          <w:sz w:val="22"/>
        </w:rPr>
        <w:instrText xml:space="preserve"> SEQ Table \* ARABIC </w:instrText>
      </w:r>
      <w:r w:rsidRPr="00AD151D">
        <w:rPr>
          <w:bCs w:val="0"/>
          <w:sz w:val="22"/>
        </w:rPr>
        <w:fldChar w:fldCharType="separate"/>
      </w:r>
      <w:r w:rsidR="00B3535E">
        <w:rPr>
          <w:bCs w:val="0"/>
          <w:noProof/>
          <w:sz w:val="22"/>
        </w:rPr>
        <w:t>3</w:t>
      </w:r>
      <w:r w:rsidRPr="00AD151D">
        <w:rPr>
          <w:bCs w:val="0"/>
          <w:sz w:val="22"/>
        </w:rPr>
        <w:fldChar w:fldCharType="end"/>
      </w:r>
      <w:bookmarkEnd w:id="42"/>
      <w:r w:rsidRPr="00AD151D">
        <w:rPr>
          <w:bCs w:val="0"/>
          <w:sz w:val="22"/>
        </w:rPr>
        <w:t>. Summary of Load Forecast Adjustments in 2011 (in MW)</w:t>
      </w:r>
      <w:bookmarkEnd w:id="43"/>
    </w:p>
    <w:tbl>
      <w:tblPr>
        <w:tblW w:w="9610" w:type="dxa"/>
        <w:tblInd w:w="-822" w:type="dxa"/>
        <w:tblLayout w:type="fixed"/>
        <w:tblCellMar>
          <w:left w:w="58" w:type="dxa"/>
          <w:right w:w="58" w:type="dxa"/>
        </w:tblCellMar>
        <w:tblLook w:val="0000" w:firstRow="0" w:lastRow="0" w:firstColumn="0" w:lastColumn="0" w:noHBand="0" w:noVBand="0"/>
      </w:tblPr>
      <w:tblGrid>
        <w:gridCol w:w="273"/>
        <w:gridCol w:w="1495"/>
        <w:gridCol w:w="732"/>
        <w:gridCol w:w="720"/>
        <w:gridCol w:w="630"/>
        <w:gridCol w:w="630"/>
        <w:gridCol w:w="630"/>
        <w:gridCol w:w="630"/>
        <w:gridCol w:w="720"/>
        <w:gridCol w:w="630"/>
        <w:gridCol w:w="630"/>
        <w:gridCol w:w="630"/>
        <w:gridCol w:w="630"/>
        <w:gridCol w:w="630"/>
      </w:tblGrid>
      <w:tr w:rsidR="00E10E24" w:rsidRPr="00AD151D" w:rsidTr="00DA6508">
        <w:trPr>
          <w:trHeight w:val="169"/>
        </w:trPr>
        <w:tc>
          <w:tcPr>
            <w:tcW w:w="273" w:type="dxa"/>
            <w:tcBorders>
              <w:top w:val="single" w:sz="4" w:space="0" w:color="auto"/>
              <w:left w:val="single" w:sz="4" w:space="0" w:color="auto"/>
              <w:bottom w:val="single" w:sz="4" w:space="0" w:color="auto"/>
              <w:right w:val="single" w:sz="4" w:space="0" w:color="auto"/>
            </w:tcBorders>
          </w:tcPr>
          <w:p w:rsidR="00AE7D50" w:rsidRPr="00AD151D" w:rsidRDefault="00AE7D50" w:rsidP="006C5D7A">
            <w:pPr>
              <w:keepNext/>
              <w:keepLines/>
              <w:jc w:val="right"/>
              <w:rPr>
                <w:b/>
                <w:bCs/>
                <w:sz w:val="16"/>
                <w:szCs w:val="16"/>
              </w:rPr>
            </w:pPr>
            <w:r w:rsidRPr="00AD151D">
              <w:rPr>
                <w:b/>
                <w:bCs/>
                <w:sz w:val="16"/>
                <w:szCs w:val="16"/>
              </w:rPr>
              <w:t> </w:t>
            </w:r>
          </w:p>
        </w:tc>
        <w:tc>
          <w:tcPr>
            <w:tcW w:w="1495" w:type="dxa"/>
            <w:tcBorders>
              <w:top w:val="single" w:sz="4" w:space="0" w:color="auto"/>
              <w:left w:val="nil"/>
              <w:bottom w:val="single" w:sz="4" w:space="0" w:color="auto"/>
              <w:right w:val="single" w:sz="4" w:space="0" w:color="auto"/>
            </w:tcBorders>
          </w:tcPr>
          <w:p w:rsidR="00AE7D50" w:rsidRPr="00AD151D" w:rsidRDefault="00AE7D50" w:rsidP="006C5D7A">
            <w:pPr>
              <w:keepNext/>
              <w:keepLines/>
              <w:jc w:val="right"/>
              <w:rPr>
                <w:b/>
                <w:bCs/>
                <w:sz w:val="16"/>
                <w:szCs w:val="16"/>
              </w:rPr>
            </w:pPr>
            <w:r w:rsidRPr="00AD151D">
              <w:rPr>
                <w:b/>
                <w:bCs/>
                <w:sz w:val="16"/>
                <w:szCs w:val="16"/>
              </w:rPr>
              <w:t>Description</w:t>
            </w:r>
          </w:p>
        </w:tc>
        <w:tc>
          <w:tcPr>
            <w:tcW w:w="732" w:type="dxa"/>
            <w:tcBorders>
              <w:top w:val="single" w:sz="4" w:space="0" w:color="auto"/>
              <w:left w:val="nil"/>
              <w:bottom w:val="single" w:sz="4" w:space="0" w:color="auto"/>
              <w:right w:val="single" w:sz="4" w:space="0" w:color="auto"/>
            </w:tcBorders>
          </w:tcPr>
          <w:p w:rsidR="00AE7D50" w:rsidRPr="00AD151D" w:rsidRDefault="00AE7D50" w:rsidP="006C5D7A">
            <w:pPr>
              <w:keepNext/>
              <w:keepLines/>
              <w:jc w:val="right"/>
              <w:rPr>
                <w:b/>
                <w:bCs/>
                <w:sz w:val="16"/>
                <w:szCs w:val="16"/>
              </w:rPr>
            </w:pPr>
            <w:r w:rsidRPr="00AD151D">
              <w:rPr>
                <w:b/>
                <w:bCs/>
                <w:sz w:val="16"/>
                <w:szCs w:val="16"/>
              </w:rPr>
              <w:t>Jan</w:t>
            </w:r>
          </w:p>
        </w:tc>
        <w:tc>
          <w:tcPr>
            <w:tcW w:w="720" w:type="dxa"/>
            <w:tcBorders>
              <w:top w:val="single" w:sz="4" w:space="0" w:color="auto"/>
              <w:left w:val="nil"/>
              <w:bottom w:val="single" w:sz="4" w:space="0" w:color="auto"/>
              <w:right w:val="single" w:sz="4" w:space="0" w:color="auto"/>
            </w:tcBorders>
          </w:tcPr>
          <w:p w:rsidR="00AE7D50" w:rsidRPr="00AD151D" w:rsidRDefault="00AE7D50" w:rsidP="006C5D7A">
            <w:pPr>
              <w:keepNext/>
              <w:keepLines/>
              <w:jc w:val="right"/>
              <w:rPr>
                <w:b/>
                <w:bCs/>
                <w:sz w:val="16"/>
                <w:szCs w:val="16"/>
              </w:rPr>
            </w:pPr>
            <w:r w:rsidRPr="00AD151D">
              <w:rPr>
                <w:b/>
                <w:bCs/>
                <w:sz w:val="16"/>
                <w:szCs w:val="16"/>
              </w:rPr>
              <w:t>Feb</w:t>
            </w:r>
          </w:p>
        </w:tc>
        <w:tc>
          <w:tcPr>
            <w:tcW w:w="630" w:type="dxa"/>
            <w:tcBorders>
              <w:top w:val="single" w:sz="4" w:space="0" w:color="auto"/>
              <w:left w:val="nil"/>
              <w:bottom w:val="single" w:sz="4" w:space="0" w:color="auto"/>
              <w:right w:val="single" w:sz="4" w:space="0" w:color="auto"/>
            </w:tcBorders>
          </w:tcPr>
          <w:p w:rsidR="00AE7D50" w:rsidRPr="00AD151D" w:rsidRDefault="00AE7D50" w:rsidP="006C5D7A">
            <w:pPr>
              <w:keepNext/>
              <w:keepLines/>
              <w:jc w:val="right"/>
              <w:rPr>
                <w:b/>
                <w:bCs/>
                <w:sz w:val="16"/>
                <w:szCs w:val="16"/>
              </w:rPr>
            </w:pPr>
            <w:r w:rsidRPr="00AD151D">
              <w:rPr>
                <w:b/>
                <w:bCs/>
                <w:sz w:val="16"/>
                <w:szCs w:val="16"/>
              </w:rPr>
              <w:t>Mar</w:t>
            </w:r>
          </w:p>
        </w:tc>
        <w:tc>
          <w:tcPr>
            <w:tcW w:w="630" w:type="dxa"/>
            <w:tcBorders>
              <w:top w:val="single" w:sz="4" w:space="0" w:color="auto"/>
              <w:left w:val="nil"/>
              <w:bottom w:val="single" w:sz="4" w:space="0" w:color="auto"/>
              <w:right w:val="single" w:sz="4" w:space="0" w:color="auto"/>
            </w:tcBorders>
          </w:tcPr>
          <w:p w:rsidR="00AE7D50" w:rsidRPr="00AD151D" w:rsidRDefault="00AE7D50" w:rsidP="006C5D7A">
            <w:pPr>
              <w:keepNext/>
              <w:keepLines/>
              <w:jc w:val="right"/>
              <w:rPr>
                <w:b/>
                <w:bCs/>
                <w:sz w:val="16"/>
                <w:szCs w:val="16"/>
              </w:rPr>
            </w:pPr>
            <w:r w:rsidRPr="00AD151D">
              <w:rPr>
                <w:b/>
                <w:bCs/>
                <w:sz w:val="16"/>
                <w:szCs w:val="16"/>
              </w:rPr>
              <w:t>Apr</w:t>
            </w:r>
          </w:p>
        </w:tc>
        <w:tc>
          <w:tcPr>
            <w:tcW w:w="630" w:type="dxa"/>
            <w:tcBorders>
              <w:top w:val="single" w:sz="4" w:space="0" w:color="auto"/>
              <w:left w:val="nil"/>
              <w:bottom w:val="single" w:sz="4" w:space="0" w:color="auto"/>
              <w:right w:val="single" w:sz="4" w:space="0" w:color="auto"/>
            </w:tcBorders>
          </w:tcPr>
          <w:p w:rsidR="00AE7D50" w:rsidRPr="00AD151D" w:rsidRDefault="00AE7D50" w:rsidP="006C5D7A">
            <w:pPr>
              <w:keepNext/>
              <w:keepLines/>
              <w:jc w:val="right"/>
              <w:rPr>
                <w:b/>
                <w:bCs/>
                <w:sz w:val="16"/>
                <w:szCs w:val="16"/>
              </w:rPr>
            </w:pPr>
            <w:r w:rsidRPr="00AD151D">
              <w:rPr>
                <w:b/>
                <w:bCs/>
                <w:sz w:val="16"/>
                <w:szCs w:val="16"/>
              </w:rPr>
              <w:t>May</w:t>
            </w:r>
          </w:p>
        </w:tc>
        <w:tc>
          <w:tcPr>
            <w:tcW w:w="630" w:type="dxa"/>
            <w:tcBorders>
              <w:top w:val="single" w:sz="4" w:space="0" w:color="auto"/>
              <w:left w:val="nil"/>
              <w:bottom w:val="single" w:sz="4" w:space="0" w:color="auto"/>
              <w:right w:val="single" w:sz="4" w:space="0" w:color="auto"/>
            </w:tcBorders>
          </w:tcPr>
          <w:p w:rsidR="00AE7D50" w:rsidRPr="00AD151D" w:rsidRDefault="00AE7D50" w:rsidP="006C5D7A">
            <w:pPr>
              <w:keepNext/>
              <w:keepLines/>
              <w:jc w:val="right"/>
              <w:rPr>
                <w:b/>
                <w:bCs/>
                <w:sz w:val="16"/>
                <w:szCs w:val="16"/>
              </w:rPr>
            </w:pPr>
            <w:r w:rsidRPr="00AD151D">
              <w:rPr>
                <w:b/>
                <w:bCs/>
                <w:sz w:val="16"/>
                <w:szCs w:val="16"/>
              </w:rPr>
              <w:t>Jun</w:t>
            </w:r>
          </w:p>
        </w:tc>
        <w:tc>
          <w:tcPr>
            <w:tcW w:w="720" w:type="dxa"/>
            <w:tcBorders>
              <w:top w:val="single" w:sz="4" w:space="0" w:color="auto"/>
              <w:left w:val="nil"/>
              <w:bottom w:val="single" w:sz="4" w:space="0" w:color="auto"/>
              <w:right w:val="single" w:sz="4" w:space="0" w:color="auto"/>
            </w:tcBorders>
          </w:tcPr>
          <w:p w:rsidR="00AE7D50" w:rsidRPr="00AD151D" w:rsidRDefault="00AE7D50" w:rsidP="006C5D7A">
            <w:pPr>
              <w:keepNext/>
              <w:keepLines/>
              <w:jc w:val="right"/>
              <w:rPr>
                <w:b/>
                <w:bCs/>
                <w:sz w:val="16"/>
                <w:szCs w:val="16"/>
              </w:rPr>
            </w:pPr>
            <w:r w:rsidRPr="00AD151D">
              <w:rPr>
                <w:b/>
                <w:bCs/>
                <w:sz w:val="16"/>
                <w:szCs w:val="16"/>
              </w:rPr>
              <w:t>Jul</w:t>
            </w:r>
          </w:p>
        </w:tc>
        <w:tc>
          <w:tcPr>
            <w:tcW w:w="630" w:type="dxa"/>
            <w:tcBorders>
              <w:top w:val="single" w:sz="4" w:space="0" w:color="auto"/>
              <w:left w:val="nil"/>
              <w:bottom w:val="single" w:sz="4" w:space="0" w:color="auto"/>
              <w:right w:val="single" w:sz="4" w:space="0" w:color="auto"/>
            </w:tcBorders>
          </w:tcPr>
          <w:p w:rsidR="00AE7D50" w:rsidRPr="00AD151D" w:rsidRDefault="00AE7D50" w:rsidP="006C5D7A">
            <w:pPr>
              <w:keepNext/>
              <w:keepLines/>
              <w:jc w:val="right"/>
              <w:rPr>
                <w:b/>
                <w:bCs/>
                <w:sz w:val="16"/>
                <w:szCs w:val="16"/>
              </w:rPr>
            </w:pPr>
            <w:r w:rsidRPr="00AD151D">
              <w:rPr>
                <w:b/>
                <w:bCs/>
                <w:sz w:val="16"/>
                <w:szCs w:val="16"/>
              </w:rPr>
              <w:t>Aug</w:t>
            </w:r>
          </w:p>
        </w:tc>
        <w:tc>
          <w:tcPr>
            <w:tcW w:w="630" w:type="dxa"/>
            <w:tcBorders>
              <w:top w:val="single" w:sz="4" w:space="0" w:color="auto"/>
              <w:left w:val="nil"/>
              <w:bottom w:val="single" w:sz="4" w:space="0" w:color="auto"/>
              <w:right w:val="single" w:sz="4" w:space="0" w:color="auto"/>
            </w:tcBorders>
          </w:tcPr>
          <w:p w:rsidR="00AE7D50" w:rsidRPr="00AD151D" w:rsidRDefault="00AE7D50" w:rsidP="006C5D7A">
            <w:pPr>
              <w:keepNext/>
              <w:keepLines/>
              <w:jc w:val="right"/>
              <w:rPr>
                <w:b/>
                <w:bCs/>
                <w:sz w:val="16"/>
                <w:szCs w:val="16"/>
              </w:rPr>
            </w:pPr>
            <w:r w:rsidRPr="00AD151D">
              <w:rPr>
                <w:b/>
                <w:bCs/>
                <w:sz w:val="16"/>
                <w:szCs w:val="16"/>
              </w:rPr>
              <w:t>Sep</w:t>
            </w:r>
          </w:p>
        </w:tc>
        <w:tc>
          <w:tcPr>
            <w:tcW w:w="630" w:type="dxa"/>
            <w:tcBorders>
              <w:top w:val="single" w:sz="4" w:space="0" w:color="auto"/>
              <w:left w:val="nil"/>
              <w:bottom w:val="single" w:sz="4" w:space="0" w:color="auto"/>
              <w:right w:val="single" w:sz="4" w:space="0" w:color="auto"/>
            </w:tcBorders>
          </w:tcPr>
          <w:p w:rsidR="00AE7D50" w:rsidRPr="00AD151D" w:rsidRDefault="00AE7D50" w:rsidP="006C5D7A">
            <w:pPr>
              <w:keepNext/>
              <w:keepLines/>
              <w:jc w:val="right"/>
              <w:rPr>
                <w:b/>
                <w:bCs/>
                <w:sz w:val="16"/>
                <w:szCs w:val="16"/>
              </w:rPr>
            </w:pPr>
            <w:r w:rsidRPr="00AD151D">
              <w:rPr>
                <w:b/>
                <w:bCs/>
                <w:sz w:val="16"/>
                <w:szCs w:val="16"/>
              </w:rPr>
              <w:t>Oct</w:t>
            </w:r>
          </w:p>
        </w:tc>
        <w:tc>
          <w:tcPr>
            <w:tcW w:w="630" w:type="dxa"/>
            <w:tcBorders>
              <w:top w:val="single" w:sz="4" w:space="0" w:color="auto"/>
              <w:left w:val="nil"/>
              <w:bottom w:val="single" w:sz="4" w:space="0" w:color="auto"/>
              <w:right w:val="single" w:sz="4" w:space="0" w:color="auto"/>
            </w:tcBorders>
          </w:tcPr>
          <w:p w:rsidR="00AE7D50" w:rsidRPr="00AD151D" w:rsidRDefault="00AE7D50" w:rsidP="006C5D7A">
            <w:pPr>
              <w:keepNext/>
              <w:keepLines/>
              <w:jc w:val="right"/>
              <w:rPr>
                <w:b/>
                <w:bCs/>
                <w:sz w:val="16"/>
                <w:szCs w:val="16"/>
              </w:rPr>
            </w:pPr>
            <w:r w:rsidRPr="00AD151D">
              <w:rPr>
                <w:b/>
                <w:bCs/>
                <w:sz w:val="16"/>
                <w:szCs w:val="16"/>
              </w:rPr>
              <w:t>Nov</w:t>
            </w:r>
          </w:p>
        </w:tc>
        <w:tc>
          <w:tcPr>
            <w:tcW w:w="630" w:type="dxa"/>
            <w:tcBorders>
              <w:top w:val="single" w:sz="4" w:space="0" w:color="auto"/>
              <w:left w:val="nil"/>
              <w:bottom w:val="single" w:sz="4" w:space="0" w:color="auto"/>
              <w:right w:val="single" w:sz="4" w:space="0" w:color="auto"/>
            </w:tcBorders>
          </w:tcPr>
          <w:p w:rsidR="00AE7D50" w:rsidRPr="00AD151D" w:rsidRDefault="00AE7D50" w:rsidP="006C5D7A">
            <w:pPr>
              <w:keepNext/>
              <w:keepLines/>
              <w:jc w:val="right"/>
              <w:rPr>
                <w:b/>
                <w:bCs/>
                <w:sz w:val="16"/>
                <w:szCs w:val="16"/>
              </w:rPr>
            </w:pPr>
            <w:r w:rsidRPr="00AD151D">
              <w:rPr>
                <w:b/>
                <w:bCs/>
                <w:sz w:val="16"/>
                <w:szCs w:val="16"/>
              </w:rPr>
              <w:t>Dec</w:t>
            </w:r>
          </w:p>
        </w:tc>
      </w:tr>
      <w:tr w:rsidR="00E10E24" w:rsidRPr="00AD151D" w:rsidTr="00DA6508">
        <w:trPr>
          <w:trHeight w:val="239"/>
        </w:trPr>
        <w:tc>
          <w:tcPr>
            <w:tcW w:w="273" w:type="dxa"/>
            <w:tcBorders>
              <w:top w:val="nil"/>
              <w:left w:val="single" w:sz="4" w:space="0" w:color="auto"/>
              <w:bottom w:val="single" w:sz="4" w:space="0" w:color="auto"/>
              <w:right w:val="single" w:sz="4" w:space="0" w:color="auto"/>
            </w:tcBorders>
          </w:tcPr>
          <w:p w:rsidR="00AE7D50" w:rsidRPr="00AD151D" w:rsidRDefault="00AE7D50" w:rsidP="006C5D7A">
            <w:pPr>
              <w:keepNext/>
              <w:keepLines/>
              <w:jc w:val="right"/>
              <w:rPr>
                <w:b/>
                <w:bCs/>
                <w:sz w:val="16"/>
                <w:szCs w:val="16"/>
              </w:rPr>
            </w:pPr>
            <w:r w:rsidRPr="00AD151D">
              <w:rPr>
                <w:b/>
                <w:bCs/>
                <w:sz w:val="16"/>
                <w:szCs w:val="16"/>
              </w:rPr>
              <w:t>1</w:t>
            </w:r>
          </w:p>
        </w:tc>
        <w:tc>
          <w:tcPr>
            <w:tcW w:w="1495" w:type="dxa"/>
            <w:tcBorders>
              <w:top w:val="nil"/>
              <w:left w:val="nil"/>
              <w:bottom w:val="single" w:sz="4" w:space="0" w:color="auto"/>
              <w:right w:val="single" w:sz="4" w:space="0" w:color="auto"/>
            </w:tcBorders>
            <w:vAlign w:val="bottom"/>
          </w:tcPr>
          <w:p w:rsidR="00AE7D50" w:rsidRPr="00AD151D" w:rsidRDefault="00AE7D50" w:rsidP="006C5D7A">
            <w:pPr>
              <w:keepNext/>
              <w:keepLines/>
              <w:jc w:val="right"/>
              <w:rPr>
                <w:b/>
                <w:bCs/>
                <w:sz w:val="16"/>
                <w:szCs w:val="16"/>
              </w:rPr>
            </w:pPr>
            <w:r w:rsidRPr="00AD151D">
              <w:rPr>
                <w:b/>
                <w:bCs/>
                <w:sz w:val="16"/>
                <w:szCs w:val="16"/>
              </w:rPr>
              <w:t>Total Forecasts sent out in Jul. 2011</w:t>
            </w:r>
          </w:p>
        </w:tc>
        <w:tc>
          <w:tcPr>
            <w:tcW w:w="732" w:type="dxa"/>
            <w:tcBorders>
              <w:top w:val="nil"/>
              <w:left w:val="nil"/>
              <w:bottom w:val="single" w:sz="4" w:space="0" w:color="auto"/>
              <w:right w:val="single" w:sz="4" w:space="0" w:color="auto"/>
            </w:tcBorders>
            <w:noWrap/>
            <w:vAlign w:val="bottom"/>
          </w:tcPr>
          <w:p w:rsidR="00AE7D50" w:rsidRPr="00AD151D" w:rsidRDefault="00AE7D50" w:rsidP="00DA6508">
            <w:pPr>
              <w:keepNext/>
              <w:keepLines/>
              <w:jc w:val="center"/>
              <w:rPr>
                <w:sz w:val="16"/>
                <w:szCs w:val="16"/>
              </w:rPr>
            </w:pPr>
            <w:r w:rsidRPr="00AD151D">
              <w:rPr>
                <w:sz w:val="16"/>
                <w:szCs w:val="16"/>
              </w:rPr>
              <w:t>29,006</w:t>
            </w:r>
          </w:p>
        </w:tc>
        <w:tc>
          <w:tcPr>
            <w:tcW w:w="720" w:type="dxa"/>
            <w:tcBorders>
              <w:top w:val="nil"/>
              <w:left w:val="nil"/>
              <w:bottom w:val="single" w:sz="4" w:space="0" w:color="auto"/>
              <w:right w:val="single" w:sz="4" w:space="0" w:color="auto"/>
            </w:tcBorders>
            <w:noWrap/>
            <w:vAlign w:val="bottom"/>
          </w:tcPr>
          <w:p w:rsidR="00AE7D50" w:rsidRPr="00AD151D" w:rsidRDefault="00AE7D50" w:rsidP="00DA6508">
            <w:pPr>
              <w:keepNext/>
              <w:keepLines/>
              <w:jc w:val="center"/>
              <w:rPr>
                <w:sz w:val="16"/>
                <w:szCs w:val="16"/>
              </w:rPr>
            </w:pPr>
            <w:r w:rsidRPr="00AD151D">
              <w:rPr>
                <w:sz w:val="16"/>
                <w:szCs w:val="16"/>
              </w:rPr>
              <w:t>28,012</w:t>
            </w:r>
          </w:p>
        </w:tc>
        <w:tc>
          <w:tcPr>
            <w:tcW w:w="630" w:type="dxa"/>
            <w:tcBorders>
              <w:top w:val="nil"/>
              <w:left w:val="nil"/>
              <w:bottom w:val="single" w:sz="4" w:space="0" w:color="auto"/>
              <w:right w:val="single" w:sz="4" w:space="0" w:color="auto"/>
            </w:tcBorders>
            <w:noWrap/>
            <w:vAlign w:val="bottom"/>
          </w:tcPr>
          <w:p w:rsidR="00AE7D50" w:rsidRPr="00AD151D" w:rsidRDefault="00AE7D50" w:rsidP="00DA6508">
            <w:pPr>
              <w:keepNext/>
              <w:keepLines/>
              <w:jc w:val="center"/>
              <w:rPr>
                <w:sz w:val="16"/>
                <w:szCs w:val="16"/>
              </w:rPr>
            </w:pPr>
            <w:r w:rsidRPr="00AD151D">
              <w:rPr>
                <w:sz w:val="16"/>
                <w:szCs w:val="16"/>
              </w:rPr>
              <w:t>28,126</w:t>
            </w:r>
          </w:p>
        </w:tc>
        <w:tc>
          <w:tcPr>
            <w:tcW w:w="630" w:type="dxa"/>
            <w:tcBorders>
              <w:top w:val="nil"/>
              <w:left w:val="nil"/>
              <w:bottom w:val="single" w:sz="4" w:space="0" w:color="auto"/>
              <w:right w:val="single" w:sz="4" w:space="0" w:color="auto"/>
            </w:tcBorders>
            <w:noWrap/>
            <w:vAlign w:val="bottom"/>
          </w:tcPr>
          <w:p w:rsidR="00AE7D50" w:rsidRPr="00AD151D" w:rsidRDefault="00AE7D50" w:rsidP="00DA6508">
            <w:pPr>
              <w:keepNext/>
              <w:keepLines/>
              <w:jc w:val="center"/>
              <w:rPr>
                <w:sz w:val="16"/>
                <w:szCs w:val="16"/>
              </w:rPr>
            </w:pPr>
            <w:r w:rsidRPr="00AD151D">
              <w:rPr>
                <w:sz w:val="16"/>
                <w:szCs w:val="16"/>
              </w:rPr>
              <w:t>29,645</w:t>
            </w:r>
          </w:p>
        </w:tc>
        <w:tc>
          <w:tcPr>
            <w:tcW w:w="630" w:type="dxa"/>
            <w:tcBorders>
              <w:top w:val="nil"/>
              <w:left w:val="nil"/>
              <w:bottom w:val="single" w:sz="4" w:space="0" w:color="auto"/>
              <w:right w:val="single" w:sz="4" w:space="0" w:color="auto"/>
            </w:tcBorders>
            <w:noWrap/>
            <w:vAlign w:val="bottom"/>
          </w:tcPr>
          <w:p w:rsidR="00AE7D50" w:rsidRPr="00AD151D" w:rsidRDefault="00AE7D50" w:rsidP="00DA6508">
            <w:pPr>
              <w:keepNext/>
              <w:keepLines/>
              <w:jc w:val="center"/>
              <w:rPr>
                <w:sz w:val="16"/>
                <w:szCs w:val="16"/>
              </w:rPr>
            </w:pPr>
            <w:r w:rsidRPr="00AD151D">
              <w:rPr>
                <w:sz w:val="16"/>
                <w:szCs w:val="16"/>
              </w:rPr>
              <w:t>34,036</w:t>
            </w:r>
          </w:p>
        </w:tc>
        <w:tc>
          <w:tcPr>
            <w:tcW w:w="630" w:type="dxa"/>
            <w:tcBorders>
              <w:top w:val="nil"/>
              <w:left w:val="nil"/>
              <w:bottom w:val="single" w:sz="4" w:space="0" w:color="auto"/>
              <w:right w:val="single" w:sz="4" w:space="0" w:color="auto"/>
            </w:tcBorders>
            <w:noWrap/>
            <w:vAlign w:val="bottom"/>
          </w:tcPr>
          <w:p w:rsidR="00AE7D50" w:rsidRPr="00AD151D" w:rsidRDefault="00AE7D50" w:rsidP="00DA6508">
            <w:pPr>
              <w:keepNext/>
              <w:keepLines/>
              <w:jc w:val="center"/>
              <w:rPr>
                <w:sz w:val="16"/>
                <w:szCs w:val="16"/>
              </w:rPr>
            </w:pPr>
            <w:r w:rsidRPr="00AD151D">
              <w:rPr>
                <w:sz w:val="16"/>
                <w:szCs w:val="16"/>
              </w:rPr>
              <w:t>38,759</w:t>
            </w:r>
          </w:p>
        </w:tc>
        <w:tc>
          <w:tcPr>
            <w:tcW w:w="720" w:type="dxa"/>
            <w:tcBorders>
              <w:top w:val="nil"/>
              <w:left w:val="nil"/>
              <w:bottom w:val="single" w:sz="4" w:space="0" w:color="auto"/>
              <w:right w:val="single" w:sz="4" w:space="0" w:color="auto"/>
            </w:tcBorders>
            <w:noWrap/>
            <w:vAlign w:val="bottom"/>
          </w:tcPr>
          <w:p w:rsidR="00AE7D50" w:rsidRPr="00AD151D" w:rsidRDefault="00AE7D50" w:rsidP="00DA6508">
            <w:pPr>
              <w:keepNext/>
              <w:keepLines/>
              <w:jc w:val="center"/>
              <w:rPr>
                <w:sz w:val="16"/>
                <w:szCs w:val="16"/>
              </w:rPr>
            </w:pPr>
            <w:r w:rsidRPr="00AD151D">
              <w:rPr>
                <w:sz w:val="16"/>
                <w:szCs w:val="16"/>
              </w:rPr>
              <w:t>43,173</w:t>
            </w:r>
          </w:p>
        </w:tc>
        <w:tc>
          <w:tcPr>
            <w:tcW w:w="630" w:type="dxa"/>
            <w:tcBorders>
              <w:top w:val="nil"/>
              <w:left w:val="nil"/>
              <w:bottom w:val="single" w:sz="4" w:space="0" w:color="auto"/>
              <w:right w:val="single" w:sz="4" w:space="0" w:color="auto"/>
            </w:tcBorders>
            <w:noWrap/>
            <w:vAlign w:val="bottom"/>
          </w:tcPr>
          <w:p w:rsidR="00AE7D50" w:rsidRPr="00AD151D" w:rsidRDefault="00AE7D50" w:rsidP="00DA6508">
            <w:pPr>
              <w:keepNext/>
              <w:keepLines/>
              <w:jc w:val="center"/>
              <w:rPr>
                <w:sz w:val="16"/>
                <w:szCs w:val="16"/>
              </w:rPr>
            </w:pPr>
            <w:r w:rsidRPr="00AD151D">
              <w:rPr>
                <w:sz w:val="16"/>
                <w:szCs w:val="16"/>
              </w:rPr>
              <w:t>44,847</w:t>
            </w:r>
          </w:p>
        </w:tc>
        <w:tc>
          <w:tcPr>
            <w:tcW w:w="630" w:type="dxa"/>
            <w:tcBorders>
              <w:top w:val="nil"/>
              <w:left w:val="nil"/>
              <w:bottom w:val="single" w:sz="4" w:space="0" w:color="auto"/>
              <w:right w:val="single" w:sz="4" w:space="0" w:color="auto"/>
            </w:tcBorders>
            <w:noWrap/>
            <w:vAlign w:val="bottom"/>
          </w:tcPr>
          <w:p w:rsidR="00AE7D50" w:rsidRPr="00AD151D" w:rsidRDefault="00AE7D50" w:rsidP="00DA6508">
            <w:pPr>
              <w:keepNext/>
              <w:keepLines/>
              <w:jc w:val="center"/>
              <w:rPr>
                <w:sz w:val="16"/>
                <w:szCs w:val="16"/>
              </w:rPr>
            </w:pPr>
            <w:r w:rsidRPr="00AD151D">
              <w:rPr>
                <w:sz w:val="16"/>
                <w:szCs w:val="16"/>
              </w:rPr>
              <w:t>40,965</w:t>
            </w:r>
          </w:p>
        </w:tc>
        <w:tc>
          <w:tcPr>
            <w:tcW w:w="630" w:type="dxa"/>
            <w:tcBorders>
              <w:top w:val="nil"/>
              <w:left w:val="nil"/>
              <w:bottom w:val="single" w:sz="4" w:space="0" w:color="auto"/>
              <w:right w:val="single" w:sz="4" w:space="0" w:color="auto"/>
            </w:tcBorders>
            <w:noWrap/>
            <w:vAlign w:val="bottom"/>
          </w:tcPr>
          <w:p w:rsidR="00AE7D50" w:rsidRPr="00AD151D" w:rsidRDefault="00AE7D50" w:rsidP="00DA6508">
            <w:pPr>
              <w:keepNext/>
              <w:keepLines/>
              <w:jc w:val="center"/>
              <w:rPr>
                <w:sz w:val="16"/>
                <w:szCs w:val="16"/>
              </w:rPr>
            </w:pPr>
            <w:r w:rsidRPr="00AD151D">
              <w:rPr>
                <w:sz w:val="16"/>
                <w:szCs w:val="16"/>
              </w:rPr>
              <w:t>33,084</w:t>
            </w:r>
          </w:p>
        </w:tc>
        <w:tc>
          <w:tcPr>
            <w:tcW w:w="630" w:type="dxa"/>
            <w:tcBorders>
              <w:top w:val="nil"/>
              <w:left w:val="nil"/>
              <w:bottom w:val="single" w:sz="4" w:space="0" w:color="auto"/>
              <w:right w:val="single" w:sz="4" w:space="0" w:color="auto"/>
            </w:tcBorders>
            <w:noWrap/>
            <w:vAlign w:val="bottom"/>
          </w:tcPr>
          <w:p w:rsidR="00AE7D50" w:rsidRPr="00AD151D" w:rsidRDefault="00AE7D50" w:rsidP="00DA6508">
            <w:pPr>
              <w:keepNext/>
              <w:keepLines/>
              <w:jc w:val="center"/>
              <w:rPr>
                <w:sz w:val="16"/>
                <w:szCs w:val="16"/>
              </w:rPr>
            </w:pPr>
            <w:r w:rsidRPr="00AD151D">
              <w:rPr>
                <w:sz w:val="16"/>
                <w:szCs w:val="16"/>
              </w:rPr>
              <w:t>29,124</w:t>
            </w:r>
          </w:p>
        </w:tc>
        <w:tc>
          <w:tcPr>
            <w:tcW w:w="630" w:type="dxa"/>
            <w:tcBorders>
              <w:top w:val="nil"/>
              <w:left w:val="nil"/>
              <w:bottom w:val="single" w:sz="4" w:space="0" w:color="auto"/>
              <w:right w:val="single" w:sz="4" w:space="0" w:color="auto"/>
            </w:tcBorders>
            <w:noWrap/>
            <w:vAlign w:val="bottom"/>
          </w:tcPr>
          <w:p w:rsidR="00AE7D50" w:rsidRPr="00AD151D" w:rsidRDefault="00AE7D50" w:rsidP="00DA6508">
            <w:pPr>
              <w:keepNext/>
              <w:keepLines/>
              <w:jc w:val="center"/>
              <w:rPr>
                <w:sz w:val="16"/>
                <w:szCs w:val="16"/>
              </w:rPr>
            </w:pPr>
            <w:r w:rsidRPr="00AD151D">
              <w:rPr>
                <w:sz w:val="16"/>
                <w:szCs w:val="16"/>
              </w:rPr>
              <w:t>30,937</w:t>
            </w:r>
          </w:p>
        </w:tc>
      </w:tr>
      <w:tr w:rsidR="00E10E24" w:rsidRPr="00AD151D" w:rsidTr="00DA6508">
        <w:trPr>
          <w:trHeight w:val="239"/>
        </w:trPr>
        <w:tc>
          <w:tcPr>
            <w:tcW w:w="273" w:type="dxa"/>
            <w:tcBorders>
              <w:top w:val="nil"/>
              <w:left w:val="single" w:sz="4" w:space="0" w:color="auto"/>
              <w:bottom w:val="single" w:sz="4" w:space="0" w:color="auto"/>
              <w:right w:val="single" w:sz="4" w:space="0" w:color="auto"/>
            </w:tcBorders>
          </w:tcPr>
          <w:p w:rsidR="00AE7D50" w:rsidRPr="00AD151D" w:rsidRDefault="00AE7D50" w:rsidP="006C5D7A">
            <w:pPr>
              <w:keepNext/>
              <w:keepLines/>
              <w:jc w:val="right"/>
              <w:rPr>
                <w:b/>
                <w:bCs/>
                <w:sz w:val="16"/>
                <w:szCs w:val="16"/>
              </w:rPr>
            </w:pPr>
            <w:r w:rsidRPr="00AD151D">
              <w:rPr>
                <w:b/>
                <w:bCs/>
                <w:sz w:val="16"/>
                <w:szCs w:val="16"/>
              </w:rPr>
              <w:t>2</w:t>
            </w:r>
          </w:p>
        </w:tc>
        <w:tc>
          <w:tcPr>
            <w:tcW w:w="1495" w:type="dxa"/>
            <w:tcBorders>
              <w:top w:val="nil"/>
              <w:left w:val="nil"/>
              <w:bottom w:val="single" w:sz="4" w:space="0" w:color="auto"/>
              <w:right w:val="single" w:sz="4" w:space="0" w:color="auto"/>
            </w:tcBorders>
            <w:vAlign w:val="bottom"/>
          </w:tcPr>
          <w:p w:rsidR="00AE7D50" w:rsidRPr="00AD151D" w:rsidRDefault="00AE7D50" w:rsidP="006C5D7A">
            <w:pPr>
              <w:keepNext/>
              <w:keepLines/>
              <w:jc w:val="right"/>
              <w:rPr>
                <w:b/>
                <w:bCs/>
                <w:sz w:val="16"/>
                <w:szCs w:val="16"/>
              </w:rPr>
            </w:pPr>
            <w:r w:rsidRPr="00AD151D">
              <w:rPr>
                <w:b/>
                <w:bCs/>
                <w:sz w:val="16"/>
                <w:szCs w:val="16"/>
              </w:rPr>
              <w:t>Monthly Load Forecast adjustments through 2011</w:t>
            </w:r>
          </w:p>
        </w:tc>
        <w:tc>
          <w:tcPr>
            <w:tcW w:w="732" w:type="dxa"/>
            <w:tcBorders>
              <w:top w:val="nil"/>
              <w:left w:val="nil"/>
              <w:bottom w:val="single" w:sz="4" w:space="0" w:color="auto"/>
              <w:right w:val="single" w:sz="4" w:space="0" w:color="auto"/>
            </w:tcBorders>
            <w:noWrap/>
            <w:vAlign w:val="bottom"/>
          </w:tcPr>
          <w:p w:rsidR="00AE7D50" w:rsidRPr="00AD151D" w:rsidRDefault="00AE7D50" w:rsidP="00DA6508">
            <w:pPr>
              <w:keepNext/>
              <w:keepLines/>
              <w:jc w:val="center"/>
              <w:rPr>
                <w:sz w:val="16"/>
                <w:szCs w:val="16"/>
              </w:rPr>
            </w:pPr>
            <w:r w:rsidRPr="00AD151D">
              <w:rPr>
                <w:sz w:val="16"/>
                <w:szCs w:val="16"/>
              </w:rPr>
              <w:t>226</w:t>
            </w:r>
          </w:p>
        </w:tc>
        <w:tc>
          <w:tcPr>
            <w:tcW w:w="720" w:type="dxa"/>
            <w:tcBorders>
              <w:top w:val="nil"/>
              <w:left w:val="nil"/>
              <w:bottom w:val="single" w:sz="4" w:space="0" w:color="auto"/>
              <w:right w:val="single" w:sz="4" w:space="0" w:color="auto"/>
            </w:tcBorders>
            <w:noWrap/>
            <w:vAlign w:val="bottom"/>
          </w:tcPr>
          <w:p w:rsidR="00AE7D50" w:rsidRPr="00AD151D" w:rsidRDefault="00AE7D50" w:rsidP="00DA6508">
            <w:pPr>
              <w:keepNext/>
              <w:keepLines/>
              <w:jc w:val="center"/>
              <w:rPr>
                <w:sz w:val="16"/>
                <w:szCs w:val="16"/>
              </w:rPr>
            </w:pPr>
            <w:r w:rsidRPr="00AD151D">
              <w:rPr>
                <w:sz w:val="16"/>
                <w:szCs w:val="16"/>
              </w:rPr>
              <w:t>305</w:t>
            </w:r>
          </w:p>
        </w:tc>
        <w:tc>
          <w:tcPr>
            <w:tcW w:w="630" w:type="dxa"/>
            <w:tcBorders>
              <w:top w:val="nil"/>
              <w:left w:val="nil"/>
              <w:bottom w:val="single" w:sz="4" w:space="0" w:color="auto"/>
              <w:right w:val="single" w:sz="4" w:space="0" w:color="auto"/>
            </w:tcBorders>
            <w:noWrap/>
            <w:vAlign w:val="bottom"/>
          </w:tcPr>
          <w:p w:rsidR="00AE7D50" w:rsidRPr="00AD151D" w:rsidRDefault="00AE7D50" w:rsidP="00DA6508">
            <w:pPr>
              <w:keepNext/>
              <w:keepLines/>
              <w:jc w:val="center"/>
              <w:rPr>
                <w:sz w:val="16"/>
                <w:szCs w:val="16"/>
              </w:rPr>
            </w:pPr>
            <w:r w:rsidRPr="00AD151D">
              <w:rPr>
                <w:sz w:val="16"/>
                <w:szCs w:val="16"/>
              </w:rPr>
              <w:t>320</w:t>
            </w:r>
          </w:p>
        </w:tc>
        <w:tc>
          <w:tcPr>
            <w:tcW w:w="630" w:type="dxa"/>
            <w:tcBorders>
              <w:top w:val="nil"/>
              <w:left w:val="nil"/>
              <w:bottom w:val="single" w:sz="4" w:space="0" w:color="auto"/>
              <w:right w:val="single" w:sz="4" w:space="0" w:color="auto"/>
            </w:tcBorders>
            <w:noWrap/>
            <w:vAlign w:val="bottom"/>
          </w:tcPr>
          <w:p w:rsidR="00AE7D50" w:rsidRPr="00AD151D" w:rsidRDefault="00AE7D50" w:rsidP="00DA6508">
            <w:pPr>
              <w:keepNext/>
              <w:keepLines/>
              <w:jc w:val="center"/>
              <w:rPr>
                <w:sz w:val="16"/>
                <w:szCs w:val="16"/>
              </w:rPr>
            </w:pPr>
            <w:r w:rsidRPr="00AD151D">
              <w:rPr>
                <w:sz w:val="16"/>
                <w:szCs w:val="16"/>
              </w:rPr>
              <w:t>562</w:t>
            </w:r>
          </w:p>
        </w:tc>
        <w:tc>
          <w:tcPr>
            <w:tcW w:w="630" w:type="dxa"/>
            <w:tcBorders>
              <w:top w:val="nil"/>
              <w:left w:val="nil"/>
              <w:bottom w:val="single" w:sz="4" w:space="0" w:color="auto"/>
              <w:right w:val="single" w:sz="4" w:space="0" w:color="auto"/>
            </w:tcBorders>
            <w:noWrap/>
            <w:vAlign w:val="bottom"/>
          </w:tcPr>
          <w:p w:rsidR="00AE7D50" w:rsidRPr="00AD151D" w:rsidRDefault="00AE7D50" w:rsidP="00DA6508">
            <w:pPr>
              <w:keepNext/>
              <w:keepLines/>
              <w:jc w:val="center"/>
              <w:rPr>
                <w:sz w:val="16"/>
                <w:szCs w:val="16"/>
              </w:rPr>
            </w:pPr>
            <w:r w:rsidRPr="00AD151D">
              <w:rPr>
                <w:sz w:val="16"/>
                <w:szCs w:val="16"/>
              </w:rPr>
              <w:t>361</w:t>
            </w:r>
          </w:p>
        </w:tc>
        <w:tc>
          <w:tcPr>
            <w:tcW w:w="630" w:type="dxa"/>
            <w:tcBorders>
              <w:top w:val="nil"/>
              <w:left w:val="nil"/>
              <w:bottom w:val="single" w:sz="4" w:space="0" w:color="auto"/>
              <w:right w:val="single" w:sz="4" w:space="0" w:color="auto"/>
            </w:tcBorders>
            <w:noWrap/>
            <w:vAlign w:val="bottom"/>
          </w:tcPr>
          <w:p w:rsidR="00AE7D50" w:rsidRPr="00AD151D" w:rsidRDefault="00AE7D50" w:rsidP="00DA6508">
            <w:pPr>
              <w:keepNext/>
              <w:keepLines/>
              <w:jc w:val="center"/>
              <w:rPr>
                <w:sz w:val="16"/>
                <w:szCs w:val="16"/>
              </w:rPr>
            </w:pPr>
            <w:r w:rsidRPr="00AD151D">
              <w:rPr>
                <w:sz w:val="16"/>
                <w:szCs w:val="16"/>
              </w:rPr>
              <w:t>341</w:t>
            </w:r>
          </w:p>
        </w:tc>
        <w:tc>
          <w:tcPr>
            <w:tcW w:w="720" w:type="dxa"/>
            <w:tcBorders>
              <w:top w:val="nil"/>
              <w:left w:val="nil"/>
              <w:bottom w:val="single" w:sz="4" w:space="0" w:color="auto"/>
              <w:right w:val="single" w:sz="4" w:space="0" w:color="auto"/>
            </w:tcBorders>
            <w:noWrap/>
            <w:vAlign w:val="bottom"/>
          </w:tcPr>
          <w:p w:rsidR="00AE7D50" w:rsidRPr="00AD151D" w:rsidRDefault="00AE7D50" w:rsidP="00DA6508">
            <w:pPr>
              <w:keepNext/>
              <w:keepLines/>
              <w:jc w:val="center"/>
              <w:rPr>
                <w:sz w:val="16"/>
                <w:szCs w:val="16"/>
              </w:rPr>
            </w:pPr>
            <w:r w:rsidRPr="00AD151D">
              <w:rPr>
                <w:sz w:val="16"/>
                <w:szCs w:val="16"/>
              </w:rPr>
              <w:t>394</w:t>
            </w:r>
          </w:p>
        </w:tc>
        <w:tc>
          <w:tcPr>
            <w:tcW w:w="630" w:type="dxa"/>
            <w:tcBorders>
              <w:top w:val="nil"/>
              <w:left w:val="nil"/>
              <w:bottom w:val="single" w:sz="4" w:space="0" w:color="auto"/>
              <w:right w:val="single" w:sz="4" w:space="0" w:color="auto"/>
            </w:tcBorders>
            <w:noWrap/>
            <w:vAlign w:val="bottom"/>
          </w:tcPr>
          <w:p w:rsidR="00AE7D50" w:rsidRPr="00AD151D" w:rsidRDefault="00AE7D50" w:rsidP="00DA6508">
            <w:pPr>
              <w:keepNext/>
              <w:keepLines/>
              <w:jc w:val="center"/>
              <w:rPr>
                <w:sz w:val="16"/>
                <w:szCs w:val="16"/>
              </w:rPr>
            </w:pPr>
            <w:r w:rsidRPr="00AD151D">
              <w:rPr>
                <w:sz w:val="16"/>
                <w:szCs w:val="16"/>
              </w:rPr>
              <w:t>333</w:t>
            </w:r>
          </w:p>
        </w:tc>
        <w:tc>
          <w:tcPr>
            <w:tcW w:w="630" w:type="dxa"/>
            <w:tcBorders>
              <w:top w:val="nil"/>
              <w:left w:val="nil"/>
              <w:bottom w:val="single" w:sz="4" w:space="0" w:color="auto"/>
              <w:right w:val="single" w:sz="4" w:space="0" w:color="auto"/>
            </w:tcBorders>
            <w:noWrap/>
            <w:vAlign w:val="bottom"/>
          </w:tcPr>
          <w:p w:rsidR="00AE7D50" w:rsidRPr="00AD151D" w:rsidRDefault="00AE7D50" w:rsidP="00DA6508">
            <w:pPr>
              <w:keepNext/>
              <w:keepLines/>
              <w:jc w:val="center"/>
              <w:rPr>
                <w:sz w:val="16"/>
                <w:szCs w:val="16"/>
              </w:rPr>
            </w:pPr>
            <w:r w:rsidRPr="00AD151D">
              <w:rPr>
                <w:sz w:val="16"/>
                <w:szCs w:val="16"/>
              </w:rPr>
              <w:t>695</w:t>
            </w:r>
          </w:p>
        </w:tc>
        <w:tc>
          <w:tcPr>
            <w:tcW w:w="630" w:type="dxa"/>
            <w:tcBorders>
              <w:top w:val="nil"/>
              <w:left w:val="nil"/>
              <w:bottom w:val="single" w:sz="4" w:space="0" w:color="auto"/>
              <w:right w:val="single" w:sz="4" w:space="0" w:color="auto"/>
            </w:tcBorders>
            <w:noWrap/>
            <w:vAlign w:val="bottom"/>
          </w:tcPr>
          <w:p w:rsidR="00AE7D50" w:rsidRPr="00AD151D" w:rsidRDefault="00AE7D50" w:rsidP="00DA6508">
            <w:pPr>
              <w:keepNext/>
              <w:keepLines/>
              <w:jc w:val="center"/>
              <w:rPr>
                <w:sz w:val="16"/>
                <w:szCs w:val="16"/>
              </w:rPr>
            </w:pPr>
            <w:r w:rsidRPr="00AD151D">
              <w:rPr>
                <w:sz w:val="16"/>
                <w:szCs w:val="16"/>
              </w:rPr>
              <w:t>717</w:t>
            </w:r>
          </w:p>
        </w:tc>
        <w:tc>
          <w:tcPr>
            <w:tcW w:w="630" w:type="dxa"/>
            <w:tcBorders>
              <w:top w:val="nil"/>
              <w:left w:val="nil"/>
              <w:bottom w:val="single" w:sz="4" w:space="0" w:color="auto"/>
              <w:right w:val="single" w:sz="4" w:space="0" w:color="auto"/>
            </w:tcBorders>
            <w:noWrap/>
            <w:vAlign w:val="bottom"/>
          </w:tcPr>
          <w:p w:rsidR="00AE7D50" w:rsidRPr="00AD151D" w:rsidRDefault="00AE7D50" w:rsidP="00DA6508">
            <w:pPr>
              <w:keepNext/>
              <w:keepLines/>
              <w:jc w:val="center"/>
              <w:rPr>
                <w:sz w:val="16"/>
                <w:szCs w:val="16"/>
              </w:rPr>
            </w:pPr>
            <w:r w:rsidRPr="00AD151D">
              <w:rPr>
                <w:sz w:val="16"/>
                <w:szCs w:val="16"/>
              </w:rPr>
              <w:t>385</w:t>
            </w:r>
          </w:p>
        </w:tc>
        <w:tc>
          <w:tcPr>
            <w:tcW w:w="630" w:type="dxa"/>
            <w:tcBorders>
              <w:top w:val="nil"/>
              <w:left w:val="nil"/>
              <w:bottom w:val="single" w:sz="4" w:space="0" w:color="auto"/>
              <w:right w:val="single" w:sz="4" w:space="0" w:color="auto"/>
            </w:tcBorders>
            <w:noWrap/>
            <w:vAlign w:val="bottom"/>
          </w:tcPr>
          <w:p w:rsidR="00AE7D50" w:rsidRPr="00AD151D" w:rsidRDefault="00AE7D50" w:rsidP="00DA6508">
            <w:pPr>
              <w:keepNext/>
              <w:keepLines/>
              <w:jc w:val="center"/>
              <w:rPr>
                <w:sz w:val="16"/>
                <w:szCs w:val="16"/>
              </w:rPr>
            </w:pPr>
            <w:r w:rsidRPr="00AD151D">
              <w:rPr>
                <w:sz w:val="16"/>
                <w:szCs w:val="16"/>
              </w:rPr>
              <w:t>601</w:t>
            </w:r>
          </w:p>
        </w:tc>
      </w:tr>
      <w:tr w:rsidR="00E10E24" w:rsidRPr="00AD151D" w:rsidTr="00DA6508">
        <w:trPr>
          <w:trHeight w:val="239"/>
        </w:trPr>
        <w:tc>
          <w:tcPr>
            <w:tcW w:w="273" w:type="dxa"/>
            <w:tcBorders>
              <w:top w:val="nil"/>
              <w:left w:val="single" w:sz="4" w:space="0" w:color="auto"/>
              <w:bottom w:val="single" w:sz="4" w:space="0" w:color="auto"/>
              <w:right w:val="single" w:sz="4" w:space="0" w:color="auto"/>
            </w:tcBorders>
          </w:tcPr>
          <w:p w:rsidR="00AE7D50" w:rsidRPr="00AD151D" w:rsidRDefault="00AE7D50" w:rsidP="006C5D7A">
            <w:pPr>
              <w:keepNext/>
              <w:keepLines/>
              <w:jc w:val="right"/>
              <w:rPr>
                <w:b/>
                <w:bCs/>
                <w:sz w:val="16"/>
                <w:szCs w:val="16"/>
              </w:rPr>
            </w:pPr>
            <w:r w:rsidRPr="00AD151D">
              <w:rPr>
                <w:b/>
                <w:bCs/>
                <w:sz w:val="16"/>
                <w:szCs w:val="16"/>
              </w:rPr>
              <w:t>3</w:t>
            </w:r>
          </w:p>
        </w:tc>
        <w:tc>
          <w:tcPr>
            <w:tcW w:w="1495" w:type="dxa"/>
            <w:tcBorders>
              <w:top w:val="nil"/>
              <w:left w:val="nil"/>
              <w:bottom w:val="single" w:sz="4" w:space="0" w:color="auto"/>
              <w:right w:val="single" w:sz="4" w:space="0" w:color="auto"/>
            </w:tcBorders>
            <w:vAlign w:val="bottom"/>
          </w:tcPr>
          <w:p w:rsidR="00AE7D50" w:rsidRPr="00AD151D" w:rsidRDefault="00AE7D50" w:rsidP="006C5D7A">
            <w:pPr>
              <w:keepNext/>
              <w:keepLines/>
              <w:jc w:val="right"/>
              <w:rPr>
                <w:b/>
                <w:bCs/>
                <w:sz w:val="16"/>
                <w:szCs w:val="16"/>
              </w:rPr>
            </w:pPr>
            <w:r w:rsidRPr="00AD151D">
              <w:rPr>
                <w:b/>
                <w:bCs/>
                <w:sz w:val="16"/>
                <w:szCs w:val="16"/>
              </w:rPr>
              <w:t xml:space="preserve">Total forecasts used in 2011 monthly RA filings </w:t>
            </w:r>
          </w:p>
        </w:tc>
        <w:tc>
          <w:tcPr>
            <w:tcW w:w="732" w:type="dxa"/>
            <w:tcBorders>
              <w:top w:val="nil"/>
              <w:left w:val="nil"/>
              <w:bottom w:val="single" w:sz="4" w:space="0" w:color="auto"/>
              <w:right w:val="single" w:sz="4" w:space="0" w:color="auto"/>
            </w:tcBorders>
            <w:noWrap/>
            <w:vAlign w:val="bottom"/>
          </w:tcPr>
          <w:p w:rsidR="00AE7D50" w:rsidRPr="00AD151D" w:rsidRDefault="00AE7D50" w:rsidP="00DA6508">
            <w:pPr>
              <w:keepNext/>
              <w:keepLines/>
              <w:jc w:val="center"/>
              <w:rPr>
                <w:sz w:val="16"/>
                <w:szCs w:val="16"/>
              </w:rPr>
            </w:pPr>
            <w:r w:rsidRPr="00AD151D">
              <w:rPr>
                <w:sz w:val="16"/>
                <w:szCs w:val="16"/>
              </w:rPr>
              <w:t>29,232</w:t>
            </w:r>
          </w:p>
        </w:tc>
        <w:tc>
          <w:tcPr>
            <w:tcW w:w="720" w:type="dxa"/>
            <w:tcBorders>
              <w:top w:val="nil"/>
              <w:left w:val="nil"/>
              <w:bottom w:val="single" w:sz="4" w:space="0" w:color="auto"/>
              <w:right w:val="single" w:sz="4" w:space="0" w:color="auto"/>
            </w:tcBorders>
            <w:noWrap/>
            <w:vAlign w:val="bottom"/>
          </w:tcPr>
          <w:p w:rsidR="00AE7D50" w:rsidRPr="00AD151D" w:rsidRDefault="00AE7D50" w:rsidP="00DA6508">
            <w:pPr>
              <w:keepNext/>
              <w:keepLines/>
              <w:jc w:val="center"/>
              <w:rPr>
                <w:sz w:val="16"/>
                <w:szCs w:val="16"/>
              </w:rPr>
            </w:pPr>
            <w:r w:rsidRPr="00AD151D">
              <w:rPr>
                <w:sz w:val="16"/>
                <w:szCs w:val="16"/>
              </w:rPr>
              <w:t>28,317</w:t>
            </w:r>
          </w:p>
        </w:tc>
        <w:tc>
          <w:tcPr>
            <w:tcW w:w="630" w:type="dxa"/>
            <w:tcBorders>
              <w:top w:val="nil"/>
              <w:left w:val="nil"/>
              <w:bottom w:val="single" w:sz="4" w:space="0" w:color="auto"/>
              <w:right w:val="single" w:sz="4" w:space="0" w:color="auto"/>
            </w:tcBorders>
            <w:noWrap/>
            <w:vAlign w:val="bottom"/>
          </w:tcPr>
          <w:p w:rsidR="00AE7D50" w:rsidRPr="00AD151D" w:rsidRDefault="00AE7D50" w:rsidP="00DA6508">
            <w:pPr>
              <w:keepNext/>
              <w:keepLines/>
              <w:jc w:val="center"/>
              <w:rPr>
                <w:sz w:val="16"/>
                <w:szCs w:val="16"/>
              </w:rPr>
            </w:pPr>
            <w:r w:rsidRPr="00AD151D">
              <w:rPr>
                <w:sz w:val="16"/>
                <w:szCs w:val="16"/>
              </w:rPr>
              <w:t>28,446</w:t>
            </w:r>
          </w:p>
        </w:tc>
        <w:tc>
          <w:tcPr>
            <w:tcW w:w="630" w:type="dxa"/>
            <w:tcBorders>
              <w:top w:val="nil"/>
              <w:left w:val="nil"/>
              <w:bottom w:val="single" w:sz="4" w:space="0" w:color="auto"/>
              <w:right w:val="single" w:sz="4" w:space="0" w:color="auto"/>
            </w:tcBorders>
            <w:noWrap/>
            <w:vAlign w:val="bottom"/>
          </w:tcPr>
          <w:p w:rsidR="00AE7D50" w:rsidRPr="00AD151D" w:rsidRDefault="00AE7D50" w:rsidP="00DA6508">
            <w:pPr>
              <w:keepNext/>
              <w:keepLines/>
              <w:jc w:val="center"/>
              <w:rPr>
                <w:sz w:val="16"/>
                <w:szCs w:val="16"/>
              </w:rPr>
            </w:pPr>
            <w:r w:rsidRPr="00AD151D">
              <w:rPr>
                <w:sz w:val="16"/>
                <w:szCs w:val="16"/>
              </w:rPr>
              <w:t>30,207</w:t>
            </w:r>
          </w:p>
        </w:tc>
        <w:tc>
          <w:tcPr>
            <w:tcW w:w="630" w:type="dxa"/>
            <w:tcBorders>
              <w:top w:val="nil"/>
              <w:left w:val="nil"/>
              <w:bottom w:val="single" w:sz="4" w:space="0" w:color="auto"/>
              <w:right w:val="single" w:sz="4" w:space="0" w:color="auto"/>
            </w:tcBorders>
            <w:noWrap/>
            <w:vAlign w:val="bottom"/>
          </w:tcPr>
          <w:p w:rsidR="00AE7D50" w:rsidRPr="00AD151D" w:rsidRDefault="00AE7D50" w:rsidP="00DA6508">
            <w:pPr>
              <w:keepNext/>
              <w:keepLines/>
              <w:jc w:val="center"/>
              <w:rPr>
                <w:sz w:val="16"/>
                <w:szCs w:val="16"/>
              </w:rPr>
            </w:pPr>
            <w:r w:rsidRPr="00AD151D">
              <w:rPr>
                <w:sz w:val="16"/>
                <w:szCs w:val="16"/>
              </w:rPr>
              <w:t>34,397</w:t>
            </w:r>
          </w:p>
        </w:tc>
        <w:tc>
          <w:tcPr>
            <w:tcW w:w="630" w:type="dxa"/>
            <w:tcBorders>
              <w:top w:val="nil"/>
              <w:left w:val="nil"/>
              <w:bottom w:val="single" w:sz="4" w:space="0" w:color="auto"/>
              <w:right w:val="single" w:sz="4" w:space="0" w:color="auto"/>
            </w:tcBorders>
            <w:noWrap/>
            <w:vAlign w:val="bottom"/>
          </w:tcPr>
          <w:p w:rsidR="00AE7D50" w:rsidRPr="00AD151D" w:rsidRDefault="00AE7D50" w:rsidP="00DA6508">
            <w:pPr>
              <w:keepNext/>
              <w:keepLines/>
              <w:jc w:val="center"/>
              <w:rPr>
                <w:sz w:val="16"/>
                <w:szCs w:val="16"/>
              </w:rPr>
            </w:pPr>
            <w:r w:rsidRPr="00AD151D">
              <w:rPr>
                <w:sz w:val="16"/>
                <w:szCs w:val="16"/>
              </w:rPr>
              <w:t>39,100</w:t>
            </w:r>
          </w:p>
        </w:tc>
        <w:tc>
          <w:tcPr>
            <w:tcW w:w="720" w:type="dxa"/>
            <w:tcBorders>
              <w:top w:val="nil"/>
              <w:left w:val="nil"/>
              <w:bottom w:val="single" w:sz="4" w:space="0" w:color="auto"/>
              <w:right w:val="single" w:sz="4" w:space="0" w:color="auto"/>
            </w:tcBorders>
            <w:noWrap/>
            <w:vAlign w:val="bottom"/>
          </w:tcPr>
          <w:p w:rsidR="00AE7D50" w:rsidRPr="00AD151D" w:rsidRDefault="00AE7D50" w:rsidP="00DA6508">
            <w:pPr>
              <w:keepNext/>
              <w:keepLines/>
              <w:jc w:val="center"/>
              <w:rPr>
                <w:sz w:val="16"/>
                <w:szCs w:val="16"/>
              </w:rPr>
            </w:pPr>
            <w:r w:rsidRPr="00AD151D">
              <w:rPr>
                <w:sz w:val="16"/>
                <w:szCs w:val="16"/>
              </w:rPr>
              <w:t>43,567</w:t>
            </w:r>
          </w:p>
        </w:tc>
        <w:tc>
          <w:tcPr>
            <w:tcW w:w="630" w:type="dxa"/>
            <w:tcBorders>
              <w:top w:val="nil"/>
              <w:left w:val="nil"/>
              <w:bottom w:val="single" w:sz="4" w:space="0" w:color="auto"/>
              <w:right w:val="single" w:sz="4" w:space="0" w:color="auto"/>
            </w:tcBorders>
            <w:noWrap/>
            <w:vAlign w:val="bottom"/>
          </w:tcPr>
          <w:p w:rsidR="00AE7D50" w:rsidRPr="00AD151D" w:rsidRDefault="00AE7D50" w:rsidP="00DA6508">
            <w:pPr>
              <w:keepNext/>
              <w:keepLines/>
              <w:jc w:val="center"/>
              <w:rPr>
                <w:sz w:val="16"/>
                <w:szCs w:val="16"/>
              </w:rPr>
            </w:pPr>
            <w:r w:rsidRPr="00AD151D">
              <w:rPr>
                <w:sz w:val="16"/>
                <w:szCs w:val="16"/>
              </w:rPr>
              <w:t>45,180</w:t>
            </w:r>
          </w:p>
        </w:tc>
        <w:tc>
          <w:tcPr>
            <w:tcW w:w="630" w:type="dxa"/>
            <w:tcBorders>
              <w:top w:val="nil"/>
              <w:left w:val="nil"/>
              <w:bottom w:val="single" w:sz="4" w:space="0" w:color="auto"/>
              <w:right w:val="single" w:sz="4" w:space="0" w:color="auto"/>
            </w:tcBorders>
            <w:noWrap/>
            <w:vAlign w:val="bottom"/>
          </w:tcPr>
          <w:p w:rsidR="00AE7D50" w:rsidRPr="00AD151D" w:rsidRDefault="00AE7D50" w:rsidP="00DA6508">
            <w:pPr>
              <w:keepNext/>
              <w:keepLines/>
              <w:jc w:val="center"/>
              <w:rPr>
                <w:sz w:val="16"/>
                <w:szCs w:val="16"/>
              </w:rPr>
            </w:pPr>
            <w:r w:rsidRPr="00AD151D">
              <w:rPr>
                <w:sz w:val="16"/>
                <w:szCs w:val="16"/>
              </w:rPr>
              <w:t>41,660</w:t>
            </w:r>
          </w:p>
        </w:tc>
        <w:tc>
          <w:tcPr>
            <w:tcW w:w="630" w:type="dxa"/>
            <w:tcBorders>
              <w:top w:val="nil"/>
              <w:left w:val="nil"/>
              <w:bottom w:val="single" w:sz="4" w:space="0" w:color="auto"/>
              <w:right w:val="single" w:sz="4" w:space="0" w:color="auto"/>
            </w:tcBorders>
            <w:noWrap/>
            <w:vAlign w:val="bottom"/>
          </w:tcPr>
          <w:p w:rsidR="00AE7D50" w:rsidRPr="00AD151D" w:rsidRDefault="00AE7D50" w:rsidP="00DA6508">
            <w:pPr>
              <w:keepNext/>
              <w:keepLines/>
              <w:jc w:val="center"/>
              <w:rPr>
                <w:sz w:val="16"/>
                <w:szCs w:val="16"/>
              </w:rPr>
            </w:pPr>
            <w:r w:rsidRPr="00AD151D">
              <w:rPr>
                <w:sz w:val="16"/>
                <w:szCs w:val="16"/>
              </w:rPr>
              <w:t>33,802</w:t>
            </w:r>
          </w:p>
        </w:tc>
        <w:tc>
          <w:tcPr>
            <w:tcW w:w="630" w:type="dxa"/>
            <w:tcBorders>
              <w:top w:val="nil"/>
              <w:left w:val="nil"/>
              <w:bottom w:val="single" w:sz="4" w:space="0" w:color="auto"/>
              <w:right w:val="single" w:sz="4" w:space="0" w:color="auto"/>
            </w:tcBorders>
            <w:noWrap/>
            <w:vAlign w:val="bottom"/>
          </w:tcPr>
          <w:p w:rsidR="00AE7D50" w:rsidRPr="00AD151D" w:rsidRDefault="00AE7D50" w:rsidP="00DA6508">
            <w:pPr>
              <w:keepNext/>
              <w:keepLines/>
              <w:jc w:val="center"/>
              <w:rPr>
                <w:sz w:val="16"/>
                <w:szCs w:val="16"/>
              </w:rPr>
            </w:pPr>
            <w:r w:rsidRPr="00AD151D">
              <w:rPr>
                <w:sz w:val="16"/>
                <w:szCs w:val="16"/>
              </w:rPr>
              <w:t>29,510</w:t>
            </w:r>
          </w:p>
        </w:tc>
        <w:tc>
          <w:tcPr>
            <w:tcW w:w="630" w:type="dxa"/>
            <w:tcBorders>
              <w:top w:val="nil"/>
              <w:left w:val="nil"/>
              <w:bottom w:val="single" w:sz="4" w:space="0" w:color="auto"/>
              <w:right w:val="single" w:sz="4" w:space="0" w:color="auto"/>
            </w:tcBorders>
            <w:noWrap/>
            <w:vAlign w:val="bottom"/>
          </w:tcPr>
          <w:p w:rsidR="00AE7D50" w:rsidRPr="00AD151D" w:rsidRDefault="00AE7D50" w:rsidP="00DA6508">
            <w:pPr>
              <w:keepNext/>
              <w:keepLines/>
              <w:jc w:val="center"/>
              <w:rPr>
                <w:sz w:val="16"/>
                <w:szCs w:val="16"/>
              </w:rPr>
            </w:pPr>
            <w:r w:rsidRPr="00AD151D">
              <w:rPr>
                <w:sz w:val="16"/>
                <w:szCs w:val="16"/>
              </w:rPr>
              <w:t>31,538</w:t>
            </w:r>
          </w:p>
        </w:tc>
      </w:tr>
      <w:tr w:rsidR="00E10E24" w:rsidRPr="00AD151D" w:rsidTr="00DA6508">
        <w:trPr>
          <w:trHeight w:val="288"/>
        </w:trPr>
        <w:tc>
          <w:tcPr>
            <w:tcW w:w="273" w:type="dxa"/>
            <w:tcBorders>
              <w:top w:val="nil"/>
              <w:left w:val="single" w:sz="4" w:space="0" w:color="auto"/>
              <w:bottom w:val="single" w:sz="4" w:space="0" w:color="auto"/>
              <w:right w:val="single" w:sz="4" w:space="0" w:color="auto"/>
            </w:tcBorders>
          </w:tcPr>
          <w:p w:rsidR="00AE7D50" w:rsidRPr="00AD151D" w:rsidRDefault="00AE7D50" w:rsidP="006C5D7A">
            <w:pPr>
              <w:keepNext/>
              <w:keepLines/>
              <w:jc w:val="right"/>
              <w:rPr>
                <w:b/>
                <w:bCs/>
                <w:sz w:val="16"/>
                <w:szCs w:val="16"/>
              </w:rPr>
            </w:pPr>
            <w:r w:rsidRPr="00AD151D">
              <w:rPr>
                <w:b/>
                <w:bCs/>
                <w:sz w:val="16"/>
                <w:szCs w:val="16"/>
              </w:rPr>
              <w:t>4</w:t>
            </w:r>
          </w:p>
        </w:tc>
        <w:tc>
          <w:tcPr>
            <w:tcW w:w="1495" w:type="dxa"/>
            <w:tcBorders>
              <w:top w:val="nil"/>
              <w:left w:val="nil"/>
              <w:bottom w:val="single" w:sz="4" w:space="0" w:color="auto"/>
              <w:right w:val="single" w:sz="4" w:space="0" w:color="auto"/>
            </w:tcBorders>
            <w:vAlign w:val="bottom"/>
          </w:tcPr>
          <w:p w:rsidR="00AE7D50" w:rsidRPr="00AD151D" w:rsidRDefault="00AE7D50" w:rsidP="006C5D7A">
            <w:pPr>
              <w:keepNext/>
              <w:keepLines/>
              <w:jc w:val="right"/>
              <w:rPr>
                <w:b/>
                <w:bCs/>
                <w:sz w:val="16"/>
                <w:szCs w:val="16"/>
              </w:rPr>
            </w:pPr>
            <w:r w:rsidRPr="00AD151D">
              <w:rPr>
                <w:b/>
                <w:bCs/>
                <w:sz w:val="16"/>
                <w:szCs w:val="16"/>
              </w:rPr>
              <w:t>Line 3 as percent of Line 1</w:t>
            </w:r>
          </w:p>
        </w:tc>
        <w:tc>
          <w:tcPr>
            <w:tcW w:w="732" w:type="dxa"/>
            <w:tcBorders>
              <w:top w:val="nil"/>
              <w:left w:val="nil"/>
              <w:bottom w:val="single" w:sz="4" w:space="0" w:color="auto"/>
              <w:right w:val="single" w:sz="4" w:space="0" w:color="auto"/>
            </w:tcBorders>
            <w:vAlign w:val="bottom"/>
          </w:tcPr>
          <w:p w:rsidR="00AE7D50" w:rsidRPr="00AD151D" w:rsidRDefault="00AE7D50" w:rsidP="00DA6508">
            <w:pPr>
              <w:keepNext/>
              <w:keepLines/>
              <w:jc w:val="center"/>
              <w:rPr>
                <w:sz w:val="16"/>
                <w:szCs w:val="16"/>
              </w:rPr>
            </w:pPr>
            <w:r w:rsidRPr="00AD151D">
              <w:rPr>
                <w:sz w:val="16"/>
                <w:szCs w:val="16"/>
              </w:rPr>
              <w:t>101%</w:t>
            </w:r>
          </w:p>
        </w:tc>
        <w:tc>
          <w:tcPr>
            <w:tcW w:w="720" w:type="dxa"/>
            <w:tcBorders>
              <w:top w:val="nil"/>
              <w:left w:val="nil"/>
              <w:bottom w:val="single" w:sz="4" w:space="0" w:color="auto"/>
              <w:right w:val="single" w:sz="4" w:space="0" w:color="auto"/>
            </w:tcBorders>
            <w:vAlign w:val="bottom"/>
          </w:tcPr>
          <w:p w:rsidR="00AE7D50" w:rsidRPr="00AD151D" w:rsidRDefault="00AE7D50" w:rsidP="00DA6508">
            <w:pPr>
              <w:keepNext/>
              <w:keepLines/>
              <w:jc w:val="center"/>
              <w:rPr>
                <w:sz w:val="16"/>
                <w:szCs w:val="16"/>
              </w:rPr>
            </w:pPr>
            <w:r w:rsidRPr="00AD151D">
              <w:rPr>
                <w:sz w:val="16"/>
                <w:szCs w:val="16"/>
              </w:rPr>
              <w:t>101%</w:t>
            </w:r>
          </w:p>
        </w:tc>
        <w:tc>
          <w:tcPr>
            <w:tcW w:w="630" w:type="dxa"/>
            <w:tcBorders>
              <w:top w:val="nil"/>
              <w:left w:val="nil"/>
              <w:bottom w:val="single" w:sz="4" w:space="0" w:color="auto"/>
              <w:right w:val="single" w:sz="4" w:space="0" w:color="auto"/>
            </w:tcBorders>
            <w:vAlign w:val="bottom"/>
          </w:tcPr>
          <w:p w:rsidR="00AE7D50" w:rsidRPr="00AD151D" w:rsidRDefault="00AE7D50" w:rsidP="00DA6508">
            <w:pPr>
              <w:keepNext/>
              <w:keepLines/>
              <w:jc w:val="center"/>
              <w:rPr>
                <w:sz w:val="16"/>
                <w:szCs w:val="16"/>
              </w:rPr>
            </w:pPr>
            <w:r w:rsidRPr="00AD151D">
              <w:rPr>
                <w:sz w:val="16"/>
                <w:szCs w:val="16"/>
              </w:rPr>
              <w:t>101%</w:t>
            </w:r>
          </w:p>
        </w:tc>
        <w:tc>
          <w:tcPr>
            <w:tcW w:w="630" w:type="dxa"/>
            <w:tcBorders>
              <w:top w:val="nil"/>
              <w:left w:val="nil"/>
              <w:bottom w:val="single" w:sz="4" w:space="0" w:color="auto"/>
              <w:right w:val="single" w:sz="4" w:space="0" w:color="auto"/>
            </w:tcBorders>
            <w:vAlign w:val="bottom"/>
          </w:tcPr>
          <w:p w:rsidR="00AE7D50" w:rsidRPr="00AD151D" w:rsidRDefault="00AE7D50" w:rsidP="00DA6508">
            <w:pPr>
              <w:keepNext/>
              <w:keepLines/>
              <w:jc w:val="center"/>
              <w:rPr>
                <w:sz w:val="16"/>
                <w:szCs w:val="16"/>
              </w:rPr>
            </w:pPr>
            <w:r w:rsidRPr="00AD151D">
              <w:rPr>
                <w:sz w:val="16"/>
                <w:szCs w:val="16"/>
              </w:rPr>
              <w:t>102%</w:t>
            </w:r>
          </w:p>
        </w:tc>
        <w:tc>
          <w:tcPr>
            <w:tcW w:w="630" w:type="dxa"/>
            <w:tcBorders>
              <w:top w:val="nil"/>
              <w:left w:val="nil"/>
              <w:bottom w:val="single" w:sz="4" w:space="0" w:color="auto"/>
              <w:right w:val="single" w:sz="4" w:space="0" w:color="auto"/>
            </w:tcBorders>
            <w:vAlign w:val="bottom"/>
          </w:tcPr>
          <w:p w:rsidR="00AE7D50" w:rsidRPr="00AD151D" w:rsidRDefault="00AE7D50" w:rsidP="00DA6508">
            <w:pPr>
              <w:keepNext/>
              <w:keepLines/>
              <w:jc w:val="center"/>
              <w:rPr>
                <w:sz w:val="16"/>
                <w:szCs w:val="16"/>
              </w:rPr>
            </w:pPr>
            <w:r w:rsidRPr="00AD151D">
              <w:rPr>
                <w:sz w:val="16"/>
                <w:szCs w:val="16"/>
              </w:rPr>
              <w:t>101%</w:t>
            </w:r>
          </w:p>
        </w:tc>
        <w:tc>
          <w:tcPr>
            <w:tcW w:w="630" w:type="dxa"/>
            <w:tcBorders>
              <w:top w:val="nil"/>
              <w:left w:val="nil"/>
              <w:bottom w:val="single" w:sz="4" w:space="0" w:color="auto"/>
              <w:right w:val="single" w:sz="4" w:space="0" w:color="auto"/>
            </w:tcBorders>
            <w:vAlign w:val="bottom"/>
          </w:tcPr>
          <w:p w:rsidR="00AE7D50" w:rsidRPr="00AD151D" w:rsidRDefault="00AE7D50" w:rsidP="00DA6508">
            <w:pPr>
              <w:keepNext/>
              <w:keepLines/>
              <w:jc w:val="center"/>
              <w:rPr>
                <w:sz w:val="16"/>
                <w:szCs w:val="16"/>
              </w:rPr>
            </w:pPr>
            <w:r w:rsidRPr="00AD151D">
              <w:rPr>
                <w:sz w:val="16"/>
                <w:szCs w:val="16"/>
              </w:rPr>
              <w:t>101%</w:t>
            </w:r>
          </w:p>
        </w:tc>
        <w:tc>
          <w:tcPr>
            <w:tcW w:w="720" w:type="dxa"/>
            <w:tcBorders>
              <w:top w:val="nil"/>
              <w:left w:val="nil"/>
              <w:bottom w:val="single" w:sz="4" w:space="0" w:color="auto"/>
              <w:right w:val="single" w:sz="4" w:space="0" w:color="auto"/>
            </w:tcBorders>
            <w:vAlign w:val="bottom"/>
          </w:tcPr>
          <w:p w:rsidR="00AE7D50" w:rsidRPr="00AD151D" w:rsidRDefault="00AE7D50" w:rsidP="00DA6508">
            <w:pPr>
              <w:keepNext/>
              <w:keepLines/>
              <w:jc w:val="center"/>
              <w:rPr>
                <w:sz w:val="16"/>
                <w:szCs w:val="16"/>
              </w:rPr>
            </w:pPr>
            <w:r w:rsidRPr="00AD151D">
              <w:rPr>
                <w:sz w:val="16"/>
                <w:szCs w:val="16"/>
              </w:rPr>
              <w:t>101%</w:t>
            </w:r>
          </w:p>
        </w:tc>
        <w:tc>
          <w:tcPr>
            <w:tcW w:w="630" w:type="dxa"/>
            <w:tcBorders>
              <w:top w:val="nil"/>
              <w:left w:val="nil"/>
              <w:bottom w:val="single" w:sz="4" w:space="0" w:color="auto"/>
              <w:right w:val="single" w:sz="4" w:space="0" w:color="auto"/>
            </w:tcBorders>
            <w:vAlign w:val="bottom"/>
          </w:tcPr>
          <w:p w:rsidR="00AE7D50" w:rsidRPr="00AD151D" w:rsidRDefault="00AE7D50" w:rsidP="00DA6508">
            <w:pPr>
              <w:keepNext/>
              <w:keepLines/>
              <w:jc w:val="center"/>
              <w:rPr>
                <w:sz w:val="16"/>
                <w:szCs w:val="16"/>
              </w:rPr>
            </w:pPr>
            <w:r w:rsidRPr="00AD151D">
              <w:rPr>
                <w:sz w:val="16"/>
                <w:szCs w:val="16"/>
              </w:rPr>
              <w:t>101%</w:t>
            </w:r>
          </w:p>
        </w:tc>
        <w:tc>
          <w:tcPr>
            <w:tcW w:w="630" w:type="dxa"/>
            <w:tcBorders>
              <w:top w:val="nil"/>
              <w:left w:val="nil"/>
              <w:bottom w:val="single" w:sz="4" w:space="0" w:color="auto"/>
              <w:right w:val="single" w:sz="4" w:space="0" w:color="auto"/>
            </w:tcBorders>
            <w:vAlign w:val="bottom"/>
          </w:tcPr>
          <w:p w:rsidR="00AE7D50" w:rsidRPr="00AD151D" w:rsidRDefault="00AE7D50" w:rsidP="00DA6508">
            <w:pPr>
              <w:keepNext/>
              <w:keepLines/>
              <w:jc w:val="center"/>
              <w:rPr>
                <w:sz w:val="16"/>
                <w:szCs w:val="16"/>
              </w:rPr>
            </w:pPr>
            <w:r w:rsidRPr="00AD151D">
              <w:rPr>
                <w:sz w:val="16"/>
                <w:szCs w:val="16"/>
              </w:rPr>
              <w:t>102%</w:t>
            </w:r>
          </w:p>
        </w:tc>
        <w:tc>
          <w:tcPr>
            <w:tcW w:w="630" w:type="dxa"/>
            <w:tcBorders>
              <w:top w:val="nil"/>
              <w:left w:val="nil"/>
              <w:bottom w:val="single" w:sz="4" w:space="0" w:color="auto"/>
              <w:right w:val="single" w:sz="4" w:space="0" w:color="auto"/>
            </w:tcBorders>
            <w:vAlign w:val="bottom"/>
          </w:tcPr>
          <w:p w:rsidR="00AE7D50" w:rsidRPr="00AD151D" w:rsidRDefault="00AE7D50" w:rsidP="00DA6508">
            <w:pPr>
              <w:keepNext/>
              <w:keepLines/>
              <w:jc w:val="center"/>
              <w:rPr>
                <w:sz w:val="16"/>
                <w:szCs w:val="16"/>
              </w:rPr>
            </w:pPr>
            <w:r w:rsidRPr="00AD151D">
              <w:rPr>
                <w:sz w:val="16"/>
                <w:szCs w:val="16"/>
              </w:rPr>
              <w:t>102%</w:t>
            </w:r>
          </w:p>
        </w:tc>
        <w:tc>
          <w:tcPr>
            <w:tcW w:w="630" w:type="dxa"/>
            <w:tcBorders>
              <w:top w:val="nil"/>
              <w:left w:val="nil"/>
              <w:bottom w:val="single" w:sz="4" w:space="0" w:color="auto"/>
              <w:right w:val="single" w:sz="4" w:space="0" w:color="auto"/>
            </w:tcBorders>
            <w:vAlign w:val="bottom"/>
          </w:tcPr>
          <w:p w:rsidR="00AE7D50" w:rsidRPr="00AD151D" w:rsidRDefault="00AE7D50" w:rsidP="00DA6508">
            <w:pPr>
              <w:keepNext/>
              <w:keepLines/>
              <w:jc w:val="center"/>
              <w:rPr>
                <w:sz w:val="16"/>
                <w:szCs w:val="16"/>
              </w:rPr>
            </w:pPr>
            <w:r w:rsidRPr="00AD151D">
              <w:rPr>
                <w:sz w:val="16"/>
                <w:szCs w:val="16"/>
              </w:rPr>
              <w:t>101%</w:t>
            </w:r>
          </w:p>
        </w:tc>
        <w:tc>
          <w:tcPr>
            <w:tcW w:w="630" w:type="dxa"/>
            <w:tcBorders>
              <w:top w:val="nil"/>
              <w:left w:val="nil"/>
              <w:bottom w:val="single" w:sz="4" w:space="0" w:color="auto"/>
              <w:right w:val="single" w:sz="4" w:space="0" w:color="auto"/>
            </w:tcBorders>
            <w:vAlign w:val="bottom"/>
          </w:tcPr>
          <w:p w:rsidR="00AE7D50" w:rsidRPr="00AD151D" w:rsidRDefault="00AE7D50" w:rsidP="00DA6508">
            <w:pPr>
              <w:keepNext/>
              <w:keepLines/>
              <w:jc w:val="center"/>
              <w:rPr>
                <w:sz w:val="16"/>
                <w:szCs w:val="16"/>
              </w:rPr>
            </w:pPr>
            <w:r w:rsidRPr="00AD151D">
              <w:rPr>
                <w:sz w:val="16"/>
                <w:szCs w:val="16"/>
              </w:rPr>
              <w:t>102%</w:t>
            </w:r>
          </w:p>
        </w:tc>
      </w:tr>
    </w:tbl>
    <w:p w:rsidR="00AE7D50" w:rsidRPr="00AD151D" w:rsidRDefault="00AE7D50" w:rsidP="00FB2ADC">
      <w:pPr>
        <w:keepNext/>
        <w:keepLines/>
        <w:spacing w:before="120"/>
        <w:rPr>
          <w:sz w:val="20"/>
          <w:szCs w:val="20"/>
        </w:rPr>
      </w:pPr>
      <w:r w:rsidRPr="00AD151D">
        <w:rPr>
          <w:sz w:val="20"/>
          <w:szCs w:val="20"/>
        </w:rPr>
        <w:t>Source – Aggregated Load Forecast Adjustments submitted to the CEC and CPUC through 2011</w:t>
      </w:r>
    </w:p>
    <w:p w:rsidR="00AE7D50" w:rsidRPr="00AD151D" w:rsidRDefault="00AE7D50" w:rsidP="00ED650E"/>
    <w:p w:rsidR="00AE7D50" w:rsidRPr="00277DC8" w:rsidRDefault="00AE7D50">
      <w:pPr>
        <w:pStyle w:val="Heading2"/>
        <w:keepNext w:val="0"/>
        <w:numPr>
          <w:ilvl w:val="1"/>
          <w:numId w:val="18"/>
        </w:numPr>
        <w:spacing w:before="120"/>
        <w:rPr>
          <w:i w:val="0"/>
        </w:rPr>
      </w:pPr>
      <w:bookmarkStart w:id="44" w:name="_Toc224022435"/>
      <w:bookmarkStart w:id="45" w:name="_Toc347827046"/>
      <w:r w:rsidRPr="00277DC8">
        <w:rPr>
          <w:i w:val="0"/>
        </w:rPr>
        <w:t>System RA Requirements - CPUC Jurisdictional LSEs</w:t>
      </w:r>
      <w:bookmarkEnd w:id="44"/>
      <w:bookmarkEnd w:id="45"/>
    </w:p>
    <w:p w:rsidR="00AE7D50" w:rsidRPr="00AD151D" w:rsidRDefault="00AE7D50">
      <w:pPr>
        <w:spacing w:before="120"/>
        <w:ind w:firstLine="720"/>
      </w:pPr>
      <w:r w:rsidRPr="00AD151D">
        <w:t xml:space="preserve">The CPUC-jurisdictional LSEs satisfied their individual and collective system RAR for every month of 2011.  The total MWs of RA resources procured exceeded the total System RAR range </w:t>
      </w:r>
      <w:r w:rsidR="004D53AC">
        <w:t xml:space="preserve">from </w:t>
      </w:r>
      <w:r w:rsidRPr="00AD151D">
        <w:t xml:space="preserve">1 to 8 percent, depending on the month.  RA resources include physical resources within the CAISO’s control area, Demand Response, </w:t>
      </w:r>
      <w:r w:rsidR="0057084E" w:rsidRPr="00AD151D">
        <w:t xml:space="preserve">remaining </w:t>
      </w:r>
      <w:r w:rsidRPr="00AD151D">
        <w:t xml:space="preserve">DWR contracts and imports.  </w:t>
      </w:r>
    </w:p>
    <w:p w:rsidR="00AE7D50" w:rsidRPr="00AD151D" w:rsidRDefault="00AE7D50">
      <w:pPr>
        <w:spacing w:before="120"/>
        <w:ind w:firstLine="720"/>
        <w:rPr>
          <w:bCs/>
          <w:noProof/>
        </w:rPr>
      </w:pPr>
      <w:r w:rsidRPr="00AD151D">
        <w:t>Remaining</w:t>
      </w:r>
      <w:r w:rsidR="0057084E" w:rsidRPr="00AD151D">
        <w:t xml:space="preserve"> n</w:t>
      </w:r>
      <w:r w:rsidRPr="00AD151D">
        <w:t xml:space="preserve">on unit specific DWR contracts </w:t>
      </w:r>
      <w:r w:rsidR="00BD5858" w:rsidRPr="00AD151D">
        <w:t xml:space="preserve">began to expire in 2010, </w:t>
      </w:r>
      <w:r w:rsidR="0057084E" w:rsidRPr="00AD151D">
        <w:t xml:space="preserve">with </w:t>
      </w:r>
      <w:r w:rsidR="004D53AC">
        <w:t xml:space="preserve">two </w:t>
      </w:r>
      <w:r w:rsidR="0057084E" w:rsidRPr="00AD151D">
        <w:t>final non-unit specific DWR contract</w:t>
      </w:r>
      <w:r w:rsidR="004D53AC">
        <w:t>s</w:t>
      </w:r>
      <w:r w:rsidR="0057084E" w:rsidRPr="00AD151D">
        <w:t xml:space="preserve"> ending in June 2012</w:t>
      </w:r>
      <w:r w:rsidR="004D53AC">
        <w:t xml:space="preserve"> (i.e. </w:t>
      </w:r>
      <w:r w:rsidR="0057084E" w:rsidRPr="00AD151D">
        <w:t>Kings River Conservation District and Shell</w:t>
      </w:r>
      <w:r w:rsidR="004D53AC">
        <w:t>)</w:t>
      </w:r>
      <w:r w:rsidR="0057084E" w:rsidRPr="00AD151D">
        <w:t>.</w:t>
      </w:r>
    </w:p>
    <w:p w:rsidR="00580872" w:rsidRDefault="00021382">
      <w:pPr>
        <w:spacing w:before="120"/>
        <w:ind w:firstLine="720"/>
      </w:pPr>
      <w:r w:rsidRPr="00AD151D">
        <w:fldChar w:fldCharType="begin"/>
      </w:r>
      <w:r w:rsidRPr="00AD151D">
        <w:instrText xml:space="preserve"> REF _Ref153449370 \h  \* MERGEFORMAT </w:instrText>
      </w:r>
      <w:r w:rsidRPr="00AD151D">
        <w:fldChar w:fldCharType="separate"/>
      </w:r>
      <w:r w:rsidR="00B3535E" w:rsidRPr="00B3535E">
        <w:rPr>
          <w:bCs/>
        </w:rPr>
        <w:t>Table 4</w:t>
      </w:r>
      <w:r w:rsidRPr="00AD151D">
        <w:fldChar w:fldCharType="end"/>
      </w:r>
      <w:r w:rsidRPr="00AD151D">
        <w:t xml:space="preserve"> shows total CPUC jurisdictional RA procurement for each month of 2011. </w:t>
      </w:r>
      <w:r w:rsidR="00AE7D50" w:rsidRPr="00AD151D">
        <w:t xml:space="preserve">During the forecasted peak month of August 2011 CPUC jurisdictional LSEs were required to procure 47,861 MW of resources to meet expected system needs </w:t>
      </w:r>
      <w:r w:rsidR="00897B07" w:rsidRPr="00AD151D">
        <w:t xml:space="preserve">which included the </w:t>
      </w:r>
      <w:r w:rsidR="00AE7D50" w:rsidRPr="00AD151D">
        <w:t>15 percent planning reserve margin.  These LSEs procured in excess of the total System RAR, or 48,461 MW; which represents 556 MW</w:t>
      </w:r>
      <w:r w:rsidR="004D53AC">
        <w:t xml:space="preserve"> excess</w:t>
      </w:r>
      <w:r w:rsidR="00AE7D50" w:rsidRPr="00AD151D">
        <w:t xml:space="preserve"> beyond the RA program</w:t>
      </w:r>
      <w:r w:rsidR="004D53AC">
        <w:t xml:space="preserve"> requirements</w:t>
      </w:r>
      <w:r w:rsidR="00AE7D50" w:rsidRPr="00AD151D">
        <w:t xml:space="preserve">.  </w:t>
      </w:r>
    </w:p>
    <w:p w:rsidR="00AE7D50" w:rsidRPr="00AD151D" w:rsidRDefault="00AE7D50">
      <w:pPr>
        <w:spacing w:before="120"/>
        <w:ind w:firstLine="720"/>
      </w:pPr>
      <w:r w:rsidRPr="00AD151D">
        <w:t xml:space="preserve">The LSEs’ individual forecasts are summed each month after being adjusted for load migration in column B, Demand Response resources are subtracted to create a Net Demand in Column E, a Planning Reserve Margin (PRM) is applied to create the RA obligation in Column F, and non-DR resources are compared to the resulting RA obligation and Net Demand in Columns </w:t>
      </w:r>
      <w:r w:rsidR="00BD5858" w:rsidRPr="00AD151D">
        <w:t>H and I</w:t>
      </w:r>
      <w:r w:rsidRPr="00AD151D">
        <w:t xml:space="preserve">.  Compliance is represented by procurement over 100 percent of the RA obligation in column </w:t>
      </w:r>
      <w:r w:rsidR="00BD5858" w:rsidRPr="00AD151D">
        <w:t>H</w:t>
      </w:r>
      <w:r w:rsidRPr="00AD151D">
        <w:t>, which is 115 percent of the peak demand forecasts.</w:t>
      </w:r>
    </w:p>
    <w:p w:rsidR="00AE7D50" w:rsidRPr="00AD151D" w:rsidRDefault="00AE7D50" w:rsidP="00580872">
      <w:pPr>
        <w:pStyle w:val="Caption"/>
        <w:keepNext/>
        <w:keepLines/>
        <w:spacing w:before="120"/>
        <w:rPr>
          <w:sz w:val="22"/>
        </w:rPr>
      </w:pPr>
      <w:bookmarkStart w:id="46" w:name="_Ref153449370"/>
      <w:bookmarkStart w:id="47" w:name="_Ref25394619"/>
      <w:bookmarkStart w:id="48" w:name="_Ref347421511"/>
      <w:bookmarkStart w:id="49" w:name="_Ref347421662"/>
      <w:bookmarkStart w:id="50" w:name="_Toc347827074"/>
      <w:r w:rsidRPr="00AD151D">
        <w:rPr>
          <w:sz w:val="22"/>
        </w:rPr>
        <w:lastRenderedPageBreak/>
        <w:t xml:space="preserve">Table </w:t>
      </w:r>
      <w:r w:rsidRPr="00AD151D">
        <w:rPr>
          <w:sz w:val="22"/>
        </w:rPr>
        <w:fldChar w:fldCharType="begin"/>
      </w:r>
      <w:r w:rsidRPr="00AD151D">
        <w:rPr>
          <w:sz w:val="22"/>
        </w:rPr>
        <w:instrText xml:space="preserve"> SEQ Table \* ARABIC </w:instrText>
      </w:r>
      <w:r w:rsidRPr="00AD151D">
        <w:rPr>
          <w:sz w:val="22"/>
        </w:rPr>
        <w:fldChar w:fldCharType="separate"/>
      </w:r>
      <w:r w:rsidR="00B3535E">
        <w:rPr>
          <w:noProof/>
          <w:sz w:val="22"/>
        </w:rPr>
        <w:t>4</w:t>
      </w:r>
      <w:r w:rsidRPr="00AD151D">
        <w:rPr>
          <w:sz w:val="22"/>
        </w:rPr>
        <w:fldChar w:fldCharType="end"/>
      </w:r>
      <w:bookmarkEnd w:id="46"/>
      <w:r w:rsidRPr="00AD151D">
        <w:rPr>
          <w:sz w:val="22"/>
        </w:rPr>
        <w:t xml:space="preserve">. 2011 RA </w:t>
      </w:r>
      <w:bookmarkEnd w:id="47"/>
      <w:r w:rsidRPr="00AD151D">
        <w:rPr>
          <w:sz w:val="22"/>
        </w:rPr>
        <w:t>Filing Summary - CPUC Jurisdictional Entities (MWs)</w:t>
      </w:r>
      <w:bookmarkEnd w:id="48"/>
      <w:bookmarkEnd w:id="49"/>
      <w:bookmarkEnd w:id="50"/>
    </w:p>
    <w:tbl>
      <w:tblPr>
        <w:tblW w:w="8443" w:type="dxa"/>
        <w:tblInd w:w="103" w:type="dxa"/>
        <w:tblLayout w:type="fixed"/>
        <w:tblCellMar>
          <w:left w:w="86" w:type="dxa"/>
          <w:right w:w="86" w:type="dxa"/>
        </w:tblCellMar>
        <w:tblLook w:val="00A0" w:firstRow="1" w:lastRow="0" w:firstColumn="1" w:lastColumn="0" w:noHBand="0" w:noVBand="0"/>
      </w:tblPr>
      <w:tblGrid>
        <w:gridCol w:w="536"/>
        <w:gridCol w:w="819"/>
        <w:gridCol w:w="788"/>
        <w:gridCol w:w="990"/>
        <w:gridCol w:w="922"/>
        <w:gridCol w:w="1170"/>
        <w:gridCol w:w="878"/>
        <w:gridCol w:w="1080"/>
        <w:gridCol w:w="1260"/>
      </w:tblGrid>
      <w:tr w:rsidR="00AE7D50" w:rsidRPr="00AD151D" w:rsidTr="00C83B76">
        <w:trPr>
          <w:trHeight w:val="242"/>
        </w:trPr>
        <w:tc>
          <w:tcPr>
            <w:tcW w:w="536" w:type="dxa"/>
            <w:tcBorders>
              <w:top w:val="single" w:sz="4" w:space="0" w:color="auto"/>
              <w:left w:val="single" w:sz="4" w:space="0" w:color="auto"/>
              <w:bottom w:val="single" w:sz="4" w:space="0" w:color="auto"/>
              <w:right w:val="single" w:sz="4" w:space="0" w:color="auto"/>
            </w:tcBorders>
            <w:vAlign w:val="center"/>
          </w:tcPr>
          <w:p w:rsidR="00AE7D50" w:rsidRPr="00AD151D" w:rsidRDefault="00AE7D50" w:rsidP="006C5D7A">
            <w:pPr>
              <w:keepNext/>
              <w:keepLines/>
              <w:jc w:val="center"/>
              <w:rPr>
                <w:b/>
                <w:bCs/>
                <w:sz w:val="16"/>
                <w:szCs w:val="16"/>
              </w:rPr>
            </w:pPr>
            <w:r w:rsidRPr="00AD151D">
              <w:rPr>
                <w:b/>
                <w:bCs/>
                <w:sz w:val="16"/>
                <w:szCs w:val="16"/>
              </w:rPr>
              <w:t>A</w:t>
            </w:r>
          </w:p>
        </w:tc>
        <w:tc>
          <w:tcPr>
            <w:tcW w:w="819" w:type="dxa"/>
            <w:tcBorders>
              <w:top w:val="single" w:sz="4" w:space="0" w:color="auto"/>
              <w:left w:val="nil"/>
              <w:bottom w:val="single" w:sz="4" w:space="0" w:color="auto"/>
              <w:right w:val="single" w:sz="4" w:space="0" w:color="auto"/>
            </w:tcBorders>
            <w:vAlign w:val="center"/>
          </w:tcPr>
          <w:p w:rsidR="00AE7D50" w:rsidRPr="00AD151D" w:rsidRDefault="00AE7D50" w:rsidP="006C5D7A">
            <w:pPr>
              <w:keepNext/>
              <w:keepLines/>
              <w:jc w:val="center"/>
              <w:rPr>
                <w:b/>
                <w:bCs/>
                <w:sz w:val="16"/>
                <w:szCs w:val="16"/>
              </w:rPr>
            </w:pPr>
            <w:r w:rsidRPr="00AD151D">
              <w:rPr>
                <w:b/>
                <w:bCs/>
                <w:sz w:val="16"/>
                <w:szCs w:val="16"/>
              </w:rPr>
              <w:t>B</w:t>
            </w:r>
          </w:p>
        </w:tc>
        <w:tc>
          <w:tcPr>
            <w:tcW w:w="788" w:type="dxa"/>
            <w:tcBorders>
              <w:top w:val="single" w:sz="4" w:space="0" w:color="auto"/>
              <w:left w:val="nil"/>
              <w:bottom w:val="single" w:sz="4" w:space="0" w:color="auto"/>
              <w:right w:val="single" w:sz="4" w:space="0" w:color="auto"/>
            </w:tcBorders>
            <w:vAlign w:val="center"/>
          </w:tcPr>
          <w:p w:rsidR="00AE7D50" w:rsidRPr="00AD151D" w:rsidRDefault="00AE7D50" w:rsidP="006C5D7A">
            <w:pPr>
              <w:keepNext/>
              <w:keepLines/>
              <w:jc w:val="center"/>
              <w:rPr>
                <w:b/>
                <w:bCs/>
                <w:sz w:val="16"/>
                <w:szCs w:val="16"/>
              </w:rPr>
            </w:pPr>
            <w:r w:rsidRPr="00AD151D">
              <w:rPr>
                <w:b/>
                <w:bCs/>
                <w:sz w:val="16"/>
                <w:szCs w:val="16"/>
              </w:rPr>
              <w:t>C</w:t>
            </w:r>
          </w:p>
        </w:tc>
        <w:tc>
          <w:tcPr>
            <w:tcW w:w="990" w:type="dxa"/>
            <w:tcBorders>
              <w:top w:val="single" w:sz="4" w:space="0" w:color="auto"/>
              <w:left w:val="nil"/>
              <w:bottom w:val="single" w:sz="4" w:space="0" w:color="auto"/>
              <w:right w:val="single" w:sz="4" w:space="0" w:color="auto"/>
            </w:tcBorders>
            <w:vAlign w:val="center"/>
          </w:tcPr>
          <w:p w:rsidR="00AE7D50" w:rsidRPr="00AD151D" w:rsidRDefault="00AE7D50" w:rsidP="006C5D7A">
            <w:pPr>
              <w:keepNext/>
              <w:keepLines/>
              <w:jc w:val="center"/>
              <w:rPr>
                <w:b/>
                <w:bCs/>
                <w:sz w:val="16"/>
                <w:szCs w:val="16"/>
              </w:rPr>
            </w:pPr>
            <w:r w:rsidRPr="00AD151D">
              <w:rPr>
                <w:b/>
                <w:bCs/>
                <w:sz w:val="16"/>
                <w:szCs w:val="16"/>
              </w:rPr>
              <w:t>D</w:t>
            </w:r>
          </w:p>
        </w:tc>
        <w:tc>
          <w:tcPr>
            <w:tcW w:w="922" w:type="dxa"/>
            <w:tcBorders>
              <w:top w:val="single" w:sz="4" w:space="0" w:color="auto"/>
              <w:left w:val="nil"/>
              <w:bottom w:val="single" w:sz="4" w:space="0" w:color="auto"/>
              <w:right w:val="single" w:sz="4" w:space="0" w:color="auto"/>
            </w:tcBorders>
            <w:vAlign w:val="center"/>
          </w:tcPr>
          <w:p w:rsidR="00AE7D50" w:rsidRPr="00AD151D" w:rsidRDefault="00AE7D50" w:rsidP="006C5D7A">
            <w:pPr>
              <w:keepNext/>
              <w:keepLines/>
              <w:jc w:val="center"/>
              <w:rPr>
                <w:b/>
                <w:bCs/>
                <w:sz w:val="16"/>
                <w:szCs w:val="16"/>
              </w:rPr>
            </w:pPr>
            <w:r w:rsidRPr="00AD151D">
              <w:rPr>
                <w:b/>
                <w:bCs/>
                <w:sz w:val="16"/>
                <w:szCs w:val="16"/>
              </w:rPr>
              <w:t>E</w:t>
            </w:r>
          </w:p>
        </w:tc>
        <w:tc>
          <w:tcPr>
            <w:tcW w:w="1170" w:type="dxa"/>
            <w:tcBorders>
              <w:top w:val="single" w:sz="4" w:space="0" w:color="auto"/>
              <w:left w:val="nil"/>
              <w:bottom w:val="single" w:sz="4" w:space="0" w:color="auto"/>
              <w:right w:val="single" w:sz="4" w:space="0" w:color="auto"/>
            </w:tcBorders>
            <w:vAlign w:val="center"/>
          </w:tcPr>
          <w:p w:rsidR="00AE7D50" w:rsidRPr="00AD151D" w:rsidRDefault="00AE7D50" w:rsidP="006C5D7A">
            <w:pPr>
              <w:keepNext/>
              <w:keepLines/>
              <w:jc w:val="center"/>
              <w:rPr>
                <w:b/>
                <w:bCs/>
                <w:sz w:val="16"/>
                <w:szCs w:val="16"/>
              </w:rPr>
            </w:pPr>
            <w:r w:rsidRPr="00AD151D">
              <w:rPr>
                <w:b/>
                <w:bCs/>
                <w:sz w:val="16"/>
                <w:szCs w:val="16"/>
              </w:rPr>
              <w:t>F</w:t>
            </w:r>
          </w:p>
        </w:tc>
        <w:tc>
          <w:tcPr>
            <w:tcW w:w="878" w:type="dxa"/>
            <w:tcBorders>
              <w:top w:val="single" w:sz="4" w:space="0" w:color="auto"/>
              <w:left w:val="nil"/>
              <w:bottom w:val="single" w:sz="4" w:space="0" w:color="auto"/>
              <w:right w:val="single" w:sz="4" w:space="0" w:color="auto"/>
            </w:tcBorders>
            <w:vAlign w:val="center"/>
          </w:tcPr>
          <w:p w:rsidR="00AE7D50" w:rsidRPr="00AD151D" w:rsidRDefault="00AE7D50" w:rsidP="006C5D7A">
            <w:pPr>
              <w:keepNext/>
              <w:keepLines/>
              <w:jc w:val="center"/>
              <w:rPr>
                <w:b/>
                <w:bCs/>
                <w:sz w:val="16"/>
                <w:szCs w:val="16"/>
              </w:rPr>
            </w:pPr>
            <w:r w:rsidRPr="00AD151D">
              <w:rPr>
                <w:b/>
                <w:bCs/>
                <w:sz w:val="16"/>
                <w:szCs w:val="16"/>
              </w:rPr>
              <w:t>G</w:t>
            </w:r>
          </w:p>
        </w:tc>
        <w:tc>
          <w:tcPr>
            <w:tcW w:w="1080" w:type="dxa"/>
            <w:tcBorders>
              <w:top w:val="single" w:sz="4" w:space="0" w:color="auto"/>
              <w:left w:val="nil"/>
              <w:bottom w:val="single" w:sz="4" w:space="0" w:color="auto"/>
              <w:right w:val="single" w:sz="4" w:space="0" w:color="auto"/>
            </w:tcBorders>
            <w:vAlign w:val="center"/>
          </w:tcPr>
          <w:p w:rsidR="00AE7D50" w:rsidRPr="00AD151D" w:rsidRDefault="00AE7D50" w:rsidP="006C5D7A">
            <w:pPr>
              <w:keepNext/>
              <w:keepLines/>
              <w:jc w:val="center"/>
              <w:rPr>
                <w:b/>
                <w:bCs/>
                <w:sz w:val="16"/>
                <w:szCs w:val="16"/>
              </w:rPr>
            </w:pPr>
            <w:r w:rsidRPr="00AD151D">
              <w:rPr>
                <w:b/>
                <w:bCs/>
                <w:sz w:val="16"/>
                <w:szCs w:val="16"/>
              </w:rPr>
              <w:t>H</w:t>
            </w:r>
          </w:p>
        </w:tc>
        <w:tc>
          <w:tcPr>
            <w:tcW w:w="1260" w:type="dxa"/>
            <w:tcBorders>
              <w:top w:val="single" w:sz="4" w:space="0" w:color="auto"/>
              <w:left w:val="nil"/>
              <w:bottom w:val="single" w:sz="4" w:space="0" w:color="auto"/>
              <w:right w:val="single" w:sz="4" w:space="0" w:color="auto"/>
            </w:tcBorders>
            <w:vAlign w:val="center"/>
          </w:tcPr>
          <w:p w:rsidR="00AE7D50" w:rsidRPr="00AD151D" w:rsidRDefault="00AE7D50" w:rsidP="006C5D7A">
            <w:pPr>
              <w:keepNext/>
              <w:keepLines/>
              <w:jc w:val="center"/>
              <w:rPr>
                <w:b/>
                <w:bCs/>
                <w:sz w:val="16"/>
                <w:szCs w:val="16"/>
              </w:rPr>
            </w:pPr>
            <w:r w:rsidRPr="00AD151D">
              <w:rPr>
                <w:b/>
                <w:bCs/>
                <w:sz w:val="16"/>
                <w:szCs w:val="16"/>
              </w:rPr>
              <w:t>I</w:t>
            </w:r>
          </w:p>
        </w:tc>
      </w:tr>
      <w:tr w:rsidR="00AE7D50" w:rsidRPr="00AD151D" w:rsidTr="00C83B76">
        <w:trPr>
          <w:trHeight w:val="602"/>
        </w:trPr>
        <w:tc>
          <w:tcPr>
            <w:tcW w:w="536" w:type="dxa"/>
            <w:tcBorders>
              <w:top w:val="nil"/>
              <w:left w:val="single" w:sz="4" w:space="0" w:color="auto"/>
              <w:bottom w:val="single" w:sz="4" w:space="0" w:color="auto"/>
              <w:right w:val="single" w:sz="4" w:space="0" w:color="auto"/>
            </w:tcBorders>
            <w:vAlign w:val="bottom"/>
          </w:tcPr>
          <w:p w:rsidR="00AE7D50" w:rsidRPr="00AD151D" w:rsidRDefault="00AE7D50" w:rsidP="006C5D7A">
            <w:pPr>
              <w:keepNext/>
              <w:keepLines/>
              <w:jc w:val="right"/>
              <w:rPr>
                <w:b/>
                <w:sz w:val="16"/>
                <w:szCs w:val="16"/>
              </w:rPr>
            </w:pPr>
            <w:r w:rsidRPr="00AD151D">
              <w:rPr>
                <w:b/>
                <w:sz w:val="16"/>
                <w:szCs w:val="16"/>
              </w:rPr>
              <w:t>2011</w:t>
            </w:r>
          </w:p>
        </w:tc>
        <w:tc>
          <w:tcPr>
            <w:tcW w:w="819" w:type="dxa"/>
            <w:tcBorders>
              <w:top w:val="nil"/>
              <w:left w:val="nil"/>
              <w:bottom w:val="single" w:sz="4" w:space="0" w:color="auto"/>
              <w:right w:val="single" w:sz="4" w:space="0" w:color="auto"/>
            </w:tcBorders>
            <w:vAlign w:val="bottom"/>
          </w:tcPr>
          <w:p w:rsidR="00AE7D50" w:rsidRPr="00AD151D" w:rsidRDefault="00AE7D50" w:rsidP="006C5D7A">
            <w:pPr>
              <w:keepNext/>
              <w:keepLines/>
              <w:rPr>
                <w:b/>
                <w:sz w:val="16"/>
                <w:szCs w:val="16"/>
              </w:rPr>
            </w:pPr>
            <w:r w:rsidRPr="00AD151D">
              <w:rPr>
                <w:b/>
                <w:sz w:val="16"/>
                <w:szCs w:val="16"/>
              </w:rPr>
              <w:t>Demand Forecast</w:t>
            </w:r>
            <w:r w:rsidRPr="00AD151D">
              <w:rPr>
                <w:b/>
                <w:sz w:val="16"/>
                <w:szCs w:val="16"/>
                <w:vertAlign w:val="superscript"/>
              </w:rPr>
              <w:t>1</w:t>
            </w:r>
          </w:p>
        </w:tc>
        <w:tc>
          <w:tcPr>
            <w:tcW w:w="788" w:type="dxa"/>
            <w:tcBorders>
              <w:top w:val="nil"/>
              <w:left w:val="nil"/>
              <w:bottom w:val="single" w:sz="4" w:space="0" w:color="auto"/>
              <w:right w:val="single" w:sz="4" w:space="0" w:color="auto"/>
            </w:tcBorders>
            <w:vAlign w:val="bottom"/>
          </w:tcPr>
          <w:p w:rsidR="00AE7D50" w:rsidRPr="00AD151D" w:rsidRDefault="00AE7D50" w:rsidP="006C5D7A">
            <w:pPr>
              <w:keepNext/>
              <w:keepLines/>
              <w:rPr>
                <w:b/>
                <w:sz w:val="16"/>
                <w:szCs w:val="16"/>
              </w:rPr>
            </w:pPr>
            <w:r w:rsidRPr="00AD151D">
              <w:rPr>
                <w:b/>
                <w:sz w:val="16"/>
                <w:szCs w:val="16"/>
              </w:rPr>
              <w:t>Demand Response</w:t>
            </w:r>
          </w:p>
        </w:tc>
        <w:tc>
          <w:tcPr>
            <w:tcW w:w="990" w:type="dxa"/>
            <w:tcBorders>
              <w:top w:val="nil"/>
              <w:left w:val="nil"/>
              <w:bottom w:val="single" w:sz="4" w:space="0" w:color="auto"/>
              <w:right w:val="single" w:sz="4" w:space="0" w:color="auto"/>
            </w:tcBorders>
            <w:vAlign w:val="bottom"/>
          </w:tcPr>
          <w:p w:rsidR="00AE7D50" w:rsidRPr="00AD151D" w:rsidRDefault="00AE7D50" w:rsidP="006C5D7A">
            <w:pPr>
              <w:keepNext/>
              <w:keepLines/>
              <w:rPr>
                <w:b/>
                <w:sz w:val="16"/>
                <w:szCs w:val="16"/>
              </w:rPr>
            </w:pPr>
            <w:r w:rsidRPr="00AD151D">
              <w:rPr>
                <w:b/>
                <w:sz w:val="16"/>
                <w:szCs w:val="16"/>
              </w:rPr>
              <w:t>CAM/RMR</w:t>
            </w:r>
          </w:p>
        </w:tc>
        <w:tc>
          <w:tcPr>
            <w:tcW w:w="922" w:type="dxa"/>
            <w:tcBorders>
              <w:top w:val="nil"/>
              <w:left w:val="nil"/>
              <w:bottom w:val="single" w:sz="4" w:space="0" w:color="auto"/>
              <w:right w:val="single" w:sz="4" w:space="0" w:color="auto"/>
            </w:tcBorders>
            <w:shd w:val="clear" w:color="000000" w:fill="D9D9D9"/>
            <w:vAlign w:val="bottom"/>
          </w:tcPr>
          <w:p w:rsidR="00AE7D50" w:rsidRPr="00AD151D" w:rsidRDefault="00AE7D50" w:rsidP="006C5D7A">
            <w:pPr>
              <w:keepNext/>
              <w:keepLines/>
              <w:rPr>
                <w:b/>
                <w:sz w:val="16"/>
                <w:szCs w:val="16"/>
              </w:rPr>
            </w:pPr>
            <w:r w:rsidRPr="00AD151D">
              <w:rPr>
                <w:b/>
                <w:sz w:val="16"/>
                <w:szCs w:val="16"/>
              </w:rPr>
              <w:t>Net Demand</w:t>
            </w:r>
          </w:p>
        </w:tc>
        <w:tc>
          <w:tcPr>
            <w:tcW w:w="1170" w:type="dxa"/>
            <w:tcBorders>
              <w:top w:val="nil"/>
              <w:left w:val="nil"/>
              <w:bottom w:val="single" w:sz="4" w:space="0" w:color="auto"/>
              <w:right w:val="single" w:sz="4" w:space="0" w:color="auto"/>
            </w:tcBorders>
            <w:shd w:val="clear" w:color="000000" w:fill="D9D9D9"/>
            <w:vAlign w:val="bottom"/>
          </w:tcPr>
          <w:p w:rsidR="00AE7D50" w:rsidRPr="00AD151D" w:rsidRDefault="00AE7D50" w:rsidP="006C5D7A">
            <w:pPr>
              <w:keepNext/>
              <w:keepLines/>
              <w:rPr>
                <w:b/>
                <w:sz w:val="16"/>
                <w:szCs w:val="16"/>
              </w:rPr>
            </w:pPr>
            <w:r w:rsidRPr="00AD151D">
              <w:rPr>
                <w:b/>
                <w:sz w:val="16"/>
                <w:szCs w:val="16"/>
              </w:rPr>
              <w:t>RAR</w:t>
            </w:r>
          </w:p>
        </w:tc>
        <w:tc>
          <w:tcPr>
            <w:tcW w:w="878" w:type="dxa"/>
            <w:tcBorders>
              <w:top w:val="nil"/>
              <w:left w:val="nil"/>
              <w:bottom w:val="single" w:sz="4" w:space="0" w:color="auto"/>
              <w:right w:val="single" w:sz="4" w:space="0" w:color="auto"/>
            </w:tcBorders>
            <w:vAlign w:val="bottom"/>
          </w:tcPr>
          <w:p w:rsidR="00AE7D50" w:rsidRPr="00AD151D" w:rsidRDefault="00AE7D50" w:rsidP="006C5D7A">
            <w:pPr>
              <w:keepNext/>
              <w:keepLines/>
              <w:rPr>
                <w:b/>
                <w:sz w:val="16"/>
                <w:szCs w:val="16"/>
              </w:rPr>
            </w:pPr>
            <w:r w:rsidRPr="00AD151D">
              <w:rPr>
                <w:b/>
                <w:sz w:val="16"/>
                <w:szCs w:val="16"/>
              </w:rPr>
              <w:t>Total R</w:t>
            </w:r>
            <w:r w:rsidR="00CB3386" w:rsidRPr="00AD151D">
              <w:rPr>
                <w:b/>
                <w:sz w:val="16"/>
                <w:szCs w:val="16"/>
              </w:rPr>
              <w:t>A</w:t>
            </w:r>
            <w:r w:rsidRPr="00AD151D">
              <w:rPr>
                <w:b/>
                <w:sz w:val="16"/>
                <w:szCs w:val="16"/>
              </w:rPr>
              <w:t xml:space="preserve"> Reported</w:t>
            </w:r>
          </w:p>
        </w:tc>
        <w:tc>
          <w:tcPr>
            <w:tcW w:w="1080" w:type="dxa"/>
            <w:tcBorders>
              <w:top w:val="nil"/>
              <w:left w:val="nil"/>
              <w:bottom w:val="single" w:sz="4" w:space="0" w:color="auto"/>
              <w:right w:val="single" w:sz="4" w:space="0" w:color="auto"/>
            </w:tcBorders>
            <w:shd w:val="clear" w:color="000000" w:fill="D9D9D9"/>
            <w:vAlign w:val="bottom"/>
          </w:tcPr>
          <w:p w:rsidR="00AE7D50" w:rsidRPr="00AD151D" w:rsidRDefault="00AE7D50" w:rsidP="006C5D7A">
            <w:pPr>
              <w:keepNext/>
              <w:keepLines/>
              <w:rPr>
                <w:b/>
                <w:sz w:val="16"/>
                <w:szCs w:val="16"/>
              </w:rPr>
            </w:pPr>
            <w:r w:rsidRPr="00AD151D">
              <w:rPr>
                <w:b/>
                <w:sz w:val="16"/>
                <w:szCs w:val="16"/>
              </w:rPr>
              <w:t>Resources Reported as % of RAR</w:t>
            </w:r>
          </w:p>
        </w:tc>
        <w:tc>
          <w:tcPr>
            <w:tcW w:w="1260" w:type="dxa"/>
            <w:tcBorders>
              <w:top w:val="nil"/>
              <w:left w:val="nil"/>
              <w:bottom w:val="single" w:sz="4" w:space="0" w:color="auto"/>
              <w:right w:val="single" w:sz="4" w:space="0" w:color="auto"/>
            </w:tcBorders>
            <w:shd w:val="clear" w:color="000000" w:fill="D9D9D9"/>
            <w:vAlign w:val="bottom"/>
          </w:tcPr>
          <w:p w:rsidR="00AE7D50" w:rsidRPr="00AD151D" w:rsidRDefault="00AE7D50" w:rsidP="006C5D7A">
            <w:pPr>
              <w:keepNext/>
              <w:keepLines/>
              <w:rPr>
                <w:b/>
                <w:sz w:val="16"/>
                <w:szCs w:val="16"/>
              </w:rPr>
            </w:pPr>
            <w:r w:rsidRPr="00AD151D">
              <w:rPr>
                <w:b/>
                <w:sz w:val="16"/>
                <w:szCs w:val="16"/>
              </w:rPr>
              <w:t>Resources Reported as % of Net Demand</w:t>
            </w:r>
          </w:p>
        </w:tc>
      </w:tr>
      <w:tr w:rsidR="00AE7D50" w:rsidRPr="00AD151D" w:rsidTr="00C83B76">
        <w:trPr>
          <w:trHeight w:val="278"/>
        </w:trPr>
        <w:tc>
          <w:tcPr>
            <w:tcW w:w="536" w:type="dxa"/>
            <w:tcBorders>
              <w:top w:val="nil"/>
              <w:left w:val="single" w:sz="4" w:space="0" w:color="auto"/>
              <w:bottom w:val="single" w:sz="4" w:space="0" w:color="auto"/>
              <w:right w:val="single" w:sz="4" w:space="0" w:color="auto"/>
            </w:tcBorders>
            <w:vAlign w:val="bottom"/>
          </w:tcPr>
          <w:p w:rsidR="00AE7D50" w:rsidRPr="00AD151D" w:rsidRDefault="00AE7D50" w:rsidP="006C5D7A">
            <w:pPr>
              <w:keepNext/>
              <w:keepLines/>
              <w:rPr>
                <w:i/>
                <w:iCs/>
                <w:sz w:val="16"/>
                <w:szCs w:val="16"/>
              </w:rPr>
            </w:pPr>
            <w:r w:rsidRPr="00AD151D">
              <w:rPr>
                <w:i/>
                <w:iCs/>
                <w:sz w:val="16"/>
                <w:szCs w:val="16"/>
              </w:rPr>
              <w:t> </w:t>
            </w:r>
          </w:p>
        </w:tc>
        <w:tc>
          <w:tcPr>
            <w:tcW w:w="819" w:type="dxa"/>
            <w:tcBorders>
              <w:top w:val="nil"/>
              <w:left w:val="nil"/>
              <w:bottom w:val="single" w:sz="4" w:space="0" w:color="auto"/>
              <w:right w:val="single" w:sz="4" w:space="0" w:color="auto"/>
            </w:tcBorders>
            <w:vAlign w:val="bottom"/>
          </w:tcPr>
          <w:p w:rsidR="00AE7D50" w:rsidRPr="00AD151D" w:rsidRDefault="00AE7D50" w:rsidP="006C5D7A">
            <w:pPr>
              <w:keepNext/>
              <w:keepLines/>
              <w:rPr>
                <w:i/>
                <w:iCs/>
                <w:sz w:val="16"/>
                <w:szCs w:val="16"/>
              </w:rPr>
            </w:pPr>
            <w:r w:rsidRPr="00AD151D">
              <w:rPr>
                <w:i/>
                <w:iCs/>
                <w:sz w:val="16"/>
                <w:szCs w:val="16"/>
              </w:rPr>
              <w:t> </w:t>
            </w:r>
          </w:p>
        </w:tc>
        <w:tc>
          <w:tcPr>
            <w:tcW w:w="788" w:type="dxa"/>
            <w:tcBorders>
              <w:top w:val="nil"/>
              <w:left w:val="nil"/>
              <w:bottom w:val="single" w:sz="4" w:space="0" w:color="auto"/>
              <w:right w:val="single" w:sz="4" w:space="0" w:color="auto"/>
            </w:tcBorders>
            <w:vAlign w:val="bottom"/>
          </w:tcPr>
          <w:p w:rsidR="00AE7D50" w:rsidRPr="00AD151D" w:rsidRDefault="00AE7D50" w:rsidP="006C5D7A">
            <w:pPr>
              <w:keepNext/>
              <w:keepLines/>
              <w:rPr>
                <w:i/>
                <w:iCs/>
                <w:sz w:val="16"/>
                <w:szCs w:val="16"/>
              </w:rPr>
            </w:pPr>
            <w:r w:rsidRPr="00AD151D">
              <w:rPr>
                <w:i/>
                <w:iCs/>
                <w:sz w:val="16"/>
                <w:szCs w:val="16"/>
              </w:rPr>
              <w:t> </w:t>
            </w:r>
          </w:p>
        </w:tc>
        <w:tc>
          <w:tcPr>
            <w:tcW w:w="990" w:type="dxa"/>
            <w:tcBorders>
              <w:top w:val="nil"/>
              <w:left w:val="nil"/>
              <w:bottom w:val="single" w:sz="4" w:space="0" w:color="auto"/>
              <w:right w:val="single" w:sz="4" w:space="0" w:color="auto"/>
            </w:tcBorders>
            <w:vAlign w:val="bottom"/>
          </w:tcPr>
          <w:p w:rsidR="00AE7D50" w:rsidRPr="00AD151D" w:rsidRDefault="00AE7D50" w:rsidP="006C5D7A">
            <w:pPr>
              <w:keepNext/>
              <w:keepLines/>
              <w:rPr>
                <w:i/>
                <w:iCs/>
                <w:sz w:val="16"/>
                <w:szCs w:val="16"/>
              </w:rPr>
            </w:pPr>
            <w:r w:rsidRPr="00AD151D">
              <w:rPr>
                <w:i/>
                <w:iCs/>
                <w:sz w:val="16"/>
                <w:szCs w:val="16"/>
              </w:rPr>
              <w:t> </w:t>
            </w:r>
          </w:p>
        </w:tc>
        <w:tc>
          <w:tcPr>
            <w:tcW w:w="922" w:type="dxa"/>
            <w:tcBorders>
              <w:top w:val="nil"/>
              <w:left w:val="nil"/>
              <w:bottom w:val="single" w:sz="4" w:space="0" w:color="auto"/>
              <w:right w:val="single" w:sz="4" w:space="0" w:color="auto"/>
            </w:tcBorders>
            <w:shd w:val="clear" w:color="000000" w:fill="D9D9D9"/>
            <w:vAlign w:val="bottom"/>
          </w:tcPr>
          <w:p w:rsidR="00AE7D50" w:rsidRPr="00AD151D" w:rsidRDefault="00AE7D50" w:rsidP="006C5D7A">
            <w:pPr>
              <w:keepNext/>
              <w:keepLines/>
              <w:rPr>
                <w:i/>
                <w:iCs/>
                <w:sz w:val="16"/>
                <w:szCs w:val="16"/>
              </w:rPr>
            </w:pPr>
            <w:r w:rsidRPr="00AD151D">
              <w:rPr>
                <w:i/>
                <w:iCs/>
                <w:sz w:val="16"/>
                <w:szCs w:val="16"/>
              </w:rPr>
              <w:t>E=B-C</w:t>
            </w:r>
          </w:p>
        </w:tc>
        <w:tc>
          <w:tcPr>
            <w:tcW w:w="1170" w:type="dxa"/>
            <w:tcBorders>
              <w:top w:val="nil"/>
              <w:left w:val="nil"/>
              <w:bottom w:val="single" w:sz="4" w:space="0" w:color="auto"/>
              <w:right w:val="single" w:sz="4" w:space="0" w:color="auto"/>
            </w:tcBorders>
            <w:shd w:val="clear" w:color="000000" w:fill="D9D9D9"/>
            <w:vAlign w:val="bottom"/>
          </w:tcPr>
          <w:p w:rsidR="00AE7D50" w:rsidRPr="00AD151D" w:rsidRDefault="00AE7D50" w:rsidP="006C5D7A">
            <w:pPr>
              <w:keepNext/>
              <w:keepLines/>
              <w:rPr>
                <w:i/>
                <w:iCs/>
                <w:sz w:val="16"/>
                <w:szCs w:val="16"/>
              </w:rPr>
            </w:pPr>
            <w:r w:rsidRPr="00AD151D">
              <w:rPr>
                <w:i/>
                <w:iCs/>
                <w:sz w:val="16"/>
                <w:szCs w:val="16"/>
              </w:rPr>
              <w:t>F=(E*1.15)-D</w:t>
            </w:r>
          </w:p>
        </w:tc>
        <w:tc>
          <w:tcPr>
            <w:tcW w:w="878" w:type="dxa"/>
            <w:tcBorders>
              <w:top w:val="nil"/>
              <w:left w:val="nil"/>
              <w:bottom w:val="single" w:sz="4" w:space="0" w:color="auto"/>
              <w:right w:val="single" w:sz="4" w:space="0" w:color="auto"/>
            </w:tcBorders>
            <w:vAlign w:val="bottom"/>
          </w:tcPr>
          <w:p w:rsidR="00AE7D50" w:rsidRPr="00AD151D" w:rsidRDefault="00AE7D50" w:rsidP="006C5D7A">
            <w:pPr>
              <w:keepNext/>
              <w:keepLines/>
              <w:rPr>
                <w:i/>
                <w:iCs/>
                <w:sz w:val="16"/>
                <w:szCs w:val="16"/>
              </w:rPr>
            </w:pPr>
            <w:r w:rsidRPr="00AD151D">
              <w:rPr>
                <w:i/>
                <w:iCs/>
                <w:sz w:val="16"/>
                <w:szCs w:val="16"/>
              </w:rPr>
              <w:t> </w:t>
            </w:r>
          </w:p>
        </w:tc>
        <w:tc>
          <w:tcPr>
            <w:tcW w:w="1080" w:type="dxa"/>
            <w:tcBorders>
              <w:top w:val="nil"/>
              <w:left w:val="nil"/>
              <w:bottom w:val="single" w:sz="4" w:space="0" w:color="auto"/>
              <w:right w:val="single" w:sz="4" w:space="0" w:color="auto"/>
            </w:tcBorders>
            <w:shd w:val="clear" w:color="000000" w:fill="D9D9D9"/>
            <w:vAlign w:val="bottom"/>
          </w:tcPr>
          <w:p w:rsidR="00AE7D50" w:rsidRPr="00AD151D" w:rsidRDefault="00AE7D50" w:rsidP="006C5D7A">
            <w:pPr>
              <w:keepNext/>
              <w:keepLines/>
              <w:rPr>
                <w:i/>
                <w:iCs/>
                <w:sz w:val="16"/>
                <w:szCs w:val="16"/>
              </w:rPr>
            </w:pPr>
            <w:r w:rsidRPr="00AD151D">
              <w:rPr>
                <w:i/>
                <w:iCs/>
                <w:sz w:val="16"/>
                <w:szCs w:val="16"/>
              </w:rPr>
              <w:t>G=F/E</w:t>
            </w:r>
          </w:p>
        </w:tc>
        <w:tc>
          <w:tcPr>
            <w:tcW w:w="1260" w:type="dxa"/>
            <w:tcBorders>
              <w:top w:val="nil"/>
              <w:left w:val="nil"/>
              <w:bottom w:val="single" w:sz="4" w:space="0" w:color="auto"/>
              <w:right w:val="single" w:sz="4" w:space="0" w:color="auto"/>
            </w:tcBorders>
            <w:shd w:val="clear" w:color="000000" w:fill="D9D9D9"/>
            <w:vAlign w:val="bottom"/>
          </w:tcPr>
          <w:p w:rsidR="00AE7D50" w:rsidRPr="00AD151D" w:rsidRDefault="00AE7D50" w:rsidP="006C5D7A">
            <w:pPr>
              <w:keepNext/>
              <w:keepLines/>
              <w:rPr>
                <w:i/>
                <w:iCs/>
                <w:sz w:val="16"/>
                <w:szCs w:val="16"/>
              </w:rPr>
            </w:pPr>
            <w:r w:rsidRPr="00AD151D">
              <w:rPr>
                <w:i/>
                <w:iCs/>
                <w:sz w:val="16"/>
                <w:szCs w:val="16"/>
              </w:rPr>
              <w:t>H=F/D</w:t>
            </w:r>
          </w:p>
        </w:tc>
      </w:tr>
      <w:tr w:rsidR="00CB3386" w:rsidRPr="00AD151D" w:rsidTr="00C83B76">
        <w:trPr>
          <w:trHeight w:val="179"/>
        </w:trPr>
        <w:tc>
          <w:tcPr>
            <w:tcW w:w="536" w:type="dxa"/>
            <w:tcBorders>
              <w:top w:val="nil"/>
              <w:left w:val="single" w:sz="4" w:space="0" w:color="auto"/>
              <w:bottom w:val="single" w:sz="4" w:space="0" w:color="auto"/>
              <w:right w:val="single" w:sz="4" w:space="0" w:color="auto"/>
            </w:tcBorders>
            <w:vAlign w:val="bottom"/>
          </w:tcPr>
          <w:p w:rsidR="00CB3386" w:rsidRPr="00AD151D" w:rsidRDefault="00CB3386" w:rsidP="007D0547">
            <w:pPr>
              <w:keepNext/>
              <w:keepLines/>
              <w:spacing w:before="20" w:afterLines="20" w:after="48"/>
              <w:jc w:val="right"/>
              <w:rPr>
                <w:b/>
                <w:sz w:val="16"/>
                <w:szCs w:val="16"/>
              </w:rPr>
            </w:pPr>
            <w:r w:rsidRPr="00AD151D">
              <w:rPr>
                <w:b/>
                <w:sz w:val="16"/>
                <w:szCs w:val="16"/>
              </w:rPr>
              <w:t>Jan</w:t>
            </w:r>
          </w:p>
        </w:tc>
        <w:tc>
          <w:tcPr>
            <w:tcW w:w="819" w:type="dxa"/>
            <w:tcBorders>
              <w:top w:val="nil"/>
              <w:left w:val="nil"/>
              <w:bottom w:val="single" w:sz="4" w:space="0" w:color="auto"/>
              <w:right w:val="single" w:sz="4" w:space="0" w:color="auto"/>
            </w:tcBorders>
            <w:vAlign w:val="bottom"/>
          </w:tcPr>
          <w:p w:rsidR="00CB3386" w:rsidRPr="00AD151D" w:rsidRDefault="00CB3386" w:rsidP="007D0547">
            <w:pPr>
              <w:keepNext/>
              <w:keepLines/>
              <w:spacing w:before="20" w:afterLines="20" w:after="48"/>
              <w:jc w:val="right"/>
              <w:rPr>
                <w:sz w:val="16"/>
                <w:szCs w:val="16"/>
              </w:rPr>
            </w:pPr>
            <w:r w:rsidRPr="00AD151D">
              <w:rPr>
                <w:sz w:val="16"/>
                <w:szCs w:val="16"/>
              </w:rPr>
              <w:t xml:space="preserve">29,212 </w:t>
            </w:r>
          </w:p>
        </w:tc>
        <w:tc>
          <w:tcPr>
            <w:tcW w:w="788" w:type="dxa"/>
            <w:tcBorders>
              <w:top w:val="nil"/>
              <w:left w:val="nil"/>
              <w:bottom w:val="single" w:sz="4" w:space="0" w:color="auto"/>
              <w:right w:val="single" w:sz="4" w:space="0" w:color="auto"/>
            </w:tcBorders>
            <w:noWrap/>
            <w:vAlign w:val="bottom"/>
          </w:tcPr>
          <w:p w:rsidR="00CB3386" w:rsidRPr="00AD151D" w:rsidRDefault="00CB3386" w:rsidP="007D0547">
            <w:pPr>
              <w:keepNext/>
              <w:keepLines/>
              <w:spacing w:before="20" w:afterLines="20" w:after="48"/>
              <w:jc w:val="right"/>
              <w:rPr>
                <w:sz w:val="16"/>
                <w:szCs w:val="16"/>
              </w:rPr>
            </w:pPr>
            <w:r w:rsidRPr="00AD151D">
              <w:rPr>
                <w:sz w:val="16"/>
                <w:szCs w:val="16"/>
              </w:rPr>
              <w:t xml:space="preserve">1,065 </w:t>
            </w:r>
          </w:p>
        </w:tc>
        <w:tc>
          <w:tcPr>
            <w:tcW w:w="990" w:type="dxa"/>
            <w:tcBorders>
              <w:top w:val="nil"/>
              <w:left w:val="nil"/>
              <w:bottom w:val="single" w:sz="4" w:space="0" w:color="auto"/>
              <w:right w:val="single" w:sz="4" w:space="0" w:color="auto"/>
            </w:tcBorders>
            <w:noWrap/>
            <w:vAlign w:val="bottom"/>
          </w:tcPr>
          <w:p w:rsidR="00CB3386" w:rsidRPr="00AD151D" w:rsidRDefault="00CB3386" w:rsidP="007D0547">
            <w:pPr>
              <w:keepNext/>
              <w:keepLines/>
              <w:spacing w:before="20" w:afterLines="20" w:after="48"/>
              <w:jc w:val="right"/>
              <w:rPr>
                <w:sz w:val="16"/>
                <w:szCs w:val="16"/>
              </w:rPr>
            </w:pPr>
            <w:r w:rsidRPr="00AD151D">
              <w:rPr>
                <w:sz w:val="16"/>
                <w:szCs w:val="16"/>
              </w:rPr>
              <w:t xml:space="preserve">        1,084 </w:t>
            </w:r>
          </w:p>
        </w:tc>
        <w:tc>
          <w:tcPr>
            <w:tcW w:w="922" w:type="dxa"/>
            <w:tcBorders>
              <w:top w:val="nil"/>
              <w:left w:val="nil"/>
              <w:bottom w:val="single" w:sz="4" w:space="0" w:color="auto"/>
              <w:right w:val="single" w:sz="4" w:space="0" w:color="auto"/>
            </w:tcBorders>
            <w:shd w:val="clear" w:color="000000" w:fill="D9D9D9"/>
            <w:vAlign w:val="bottom"/>
          </w:tcPr>
          <w:p w:rsidR="00CB3386" w:rsidRPr="00AD151D" w:rsidRDefault="00CB3386" w:rsidP="007D0547">
            <w:pPr>
              <w:keepNext/>
              <w:keepLines/>
              <w:spacing w:before="20" w:afterLines="20" w:after="48"/>
              <w:jc w:val="right"/>
              <w:rPr>
                <w:b/>
                <w:sz w:val="16"/>
                <w:szCs w:val="16"/>
              </w:rPr>
            </w:pPr>
            <w:r w:rsidRPr="00AD151D">
              <w:rPr>
                <w:b/>
                <w:sz w:val="16"/>
                <w:szCs w:val="16"/>
              </w:rPr>
              <w:t>28,147</w:t>
            </w:r>
          </w:p>
        </w:tc>
        <w:tc>
          <w:tcPr>
            <w:tcW w:w="1170" w:type="dxa"/>
            <w:tcBorders>
              <w:top w:val="nil"/>
              <w:left w:val="nil"/>
              <w:bottom w:val="single" w:sz="4" w:space="0" w:color="auto"/>
              <w:right w:val="single" w:sz="4" w:space="0" w:color="auto"/>
            </w:tcBorders>
            <w:shd w:val="clear" w:color="000000" w:fill="D9D9D9"/>
            <w:vAlign w:val="bottom"/>
          </w:tcPr>
          <w:p w:rsidR="00CB3386" w:rsidRPr="00AD151D" w:rsidRDefault="00CB3386" w:rsidP="007D0547">
            <w:pPr>
              <w:keepNext/>
              <w:keepLines/>
              <w:spacing w:before="20" w:afterLines="20" w:after="48"/>
              <w:jc w:val="right"/>
              <w:rPr>
                <w:sz w:val="16"/>
                <w:szCs w:val="16"/>
              </w:rPr>
            </w:pPr>
            <w:r w:rsidRPr="00AD151D">
              <w:rPr>
                <w:sz w:val="16"/>
                <w:szCs w:val="16"/>
              </w:rPr>
              <w:t>31,285</w:t>
            </w:r>
          </w:p>
        </w:tc>
        <w:tc>
          <w:tcPr>
            <w:tcW w:w="878" w:type="dxa"/>
            <w:tcBorders>
              <w:top w:val="nil"/>
              <w:left w:val="nil"/>
              <w:bottom w:val="single" w:sz="4" w:space="0" w:color="auto"/>
              <w:right w:val="single" w:sz="4" w:space="0" w:color="auto"/>
            </w:tcBorders>
            <w:noWrap/>
            <w:vAlign w:val="bottom"/>
          </w:tcPr>
          <w:p w:rsidR="00CB3386" w:rsidRPr="00AD151D" w:rsidRDefault="00CB3386" w:rsidP="007D0547">
            <w:pPr>
              <w:keepNext/>
              <w:keepLines/>
              <w:spacing w:before="20" w:afterLines="20" w:after="48"/>
              <w:jc w:val="right"/>
              <w:rPr>
                <w:sz w:val="16"/>
                <w:szCs w:val="16"/>
              </w:rPr>
            </w:pPr>
            <w:r w:rsidRPr="00AD151D">
              <w:rPr>
                <w:sz w:val="16"/>
                <w:szCs w:val="16"/>
              </w:rPr>
              <w:t>32,898</w:t>
            </w:r>
          </w:p>
        </w:tc>
        <w:tc>
          <w:tcPr>
            <w:tcW w:w="1080" w:type="dxa"/>
            <w:tcBorders>
              <w:top w:val="nil"/>
              <w:left w:val="nil"/>
              <w:bottom w:val="single" w:sz="4" w:space="0" w:color="auto"/>
              <w:right w:val="single" w:sz="4" w:space="0" w:color="auto"/>
            </w:tcBorders>
            <w:shd w:val="clear" w:color="000000" w:fill="D9D9D9"/>
            <w:vAlign w:val="bottom"/>
          </w:tcPr>
          <w:p w:rsidR="00CB3386" w:rsidRPr="00AD151D" w:rsidRDefault="00CB3386" w:rsidP="007D0547">
            <w:pPr>
              <w:keepNext/>
              <w:keepLines/>
              <w:spacing w:before="20" w:afterLines="20" w:after="48"/>
              <w:jc w:val="right"/>
              <w:rPr>
                <w:sz w:val="16"/>
                <w:szCs w:val="16"/>
              </w:rPr>
            </w:pPr>
            <w:r w:rsidRPr="00AD151D">
              <w:rPr>
                <w:sz w:val="16"/>
                <w:szCs w:val="16"/>
              </w:rPr>
              <w:t>105%</w:t>
            </w:r>
          </w:p>
        </w:tc>
        <w:tc>
          <w:tcPr>
            <w:tcW w:w="1260" w:type="dxa"/>
            <w:tcBorders>
              <w:top w:val="nil"/>
              <w:left w:val="nil"/>
              <w:bottom w:val="single" w:sz="4" w:space="0" w:color="auto"/>
              <w:right w:val="single" w:sz="4" w:space="0" w:color="auto"/>
            </w:tcBorders>
            <w:shd w:val="clear" w:color="000000" w:fill="D9D9D9"/>
            <w:vAlign w:val="bottom"/>
          </w:tcPr>
          <w:p w:rsidR="00CB3386" w:rsidRPr="00AD151D" w:rsidRDefault="00CB3386" w:rsidP="007D0547">
            <w:pPr>
              <w:keepNext/>
              <w:keepLines/>
              <w:spacing w:before="20" w:afterLines="20" w:after="48"/>
              <w:jc w:val="right"/>
              <w:rPr>
                <w:sz w:val="16"/>
                <w:szCs w:val="16"/>
              </w:rPr>
            </w:pPr>
            <w:r w:rsidRPr="00AD151D">
              <w:rPr>
                <w:sz w:val="16"/>
                <w:szCs w:val="16"/>
              </w:rPr>
              <w:t>117%</w:t>
            </w:r>
          </w:p>
        </w:tc>
      </w:tr>
      <w:tr w:rsidR="00CB3386" w:rsidRPr="00AD151D" w:rsidTr="00C83B76">
        <w:trPr>
          <w:trHeight w:val="347"/>
        </w:trPr>
        <w:tc>
          <w:tcPr>
            <w:tcW w:w="536" w:type="dxa"/>
            <w:tcBorders>
              <w:top w:val="nil"/>
              <w:left w:val="single" w:sz="4" w:space="0" w:color="auto"/>
              <w:bottom w:val="single" w:sz="4" w:space="0" w:color="auto"/>
              <w:right w:val="single" w:sz="4" w:space="0" w:color="auto"/>
            </w:tcBorders>
            <w:vAlign w:val="bottom"/>
          </w:tcPr>
          <w:p w:rsidR="00CB3386" w:rsidRPr="00AD151D" w:rsidRDefault="00CB3386" w:rsidP="007D0547">
            <w:pPr>
              <w:keepNext/>
              <w:keepLines/>
              <w:spacing w:before="20" w:afterLines="20" w:after="48"/>
              <w:jc w:val="right"/>
              <w:rPr>
                <w:b/>
                <w:sz w:val="16"/>
                <w:szCs w:val="16"/>
              </w:rPr>
            </w:pPr>
            <w:r w:rsidRPr="00AD151D">
              <w:rPr>
                <w:b/>
                <w:sz w:val="16"/>
                <w:szCs w:val="16"/>
              </w:rPr>
              <w:t>Feb</w:t>
            </w:r>
          </w:p>
        </w:tc>
        <w:tc>
          <w:tcPr>
            <w:tcW w:w="819" w:type="dxa"/>
            <w:tcBorders>
              <w:top w:val="nil"/>
              <w:left w:val="nil"/>
              <w:bottom w:val="single" w:sz="4" w:space="0" w:color="auto"/>
              <w:right w:val="single" w:sz="4" w:space="0" w:color="auto"/>
            </w:tcBorders>
            <w:vAlign w:val="bottom"/>
          </w:tcPr>
          <w:p w:rsidR="00CB3386" w:rsidRPr="00AD151D" w:rsidRDefault="00CB3386" w:rsidP="007D0547">
            <w:pPr>
              <w:keepNext/>
              <w:keepLines/>
              <w:spacing w:before="20" w:afterLines="20" w:after="48"/>
              <w:jc w:val="right"/>
              <w:rPr>
                <w:sz w:val="16"/>
                <w:szCs w:val="16"/>
              </w:rPr>
            </w:pPr>
            <w:r w:rsidRPr="00AD151D">
              <w:rPr>
                <w:sz w:val="16"/>
                <w:szCs w:val="16"/>
              </w:rPr>
              <w:t xml:space="preserve">28,285 </w:t>
            </w:r>
          </w:p>
        </w:tc>
        <w:tc>
          <w:tcPr>
            <w:tcW w:w="788" w:type="dxa"/>
            <w:tcBorders>
              <w:top w:val="nil"/>
              <w:left w:val="nil"/>
              <w:bottom w:val="single" w:sz="4" w:space="0" w:color="auto"/>
              <w:right w:val="single" w:sz="4" w:space="0" w:color="auto"/>
            </w:tcBorders>
            <w:noWrap/>
            <w:vAlign w:val="bottom"/>
          </w:tcPr>
          <w:p w:rsidR="00CB3386" w:rsidRPr="00AD151D" w:rsidRDefault="00CB3386" w:rsidP="007D0547">
            <w:pPr>
              <w:keepNext/>
              <w:keepLines/>
              <w:spacing w:before="20" w:afterLines="20" w:after="48"/>
              <w:jc w:val="right"/>
              <w:rPr>
                <w:sz w:val="16"/>
                <w:szCs w:val="16"/>
              </w:rPr>
            </w:pPr>
            <w:r w:rsidRPr="00AD151D">
              <w:rPr>
                <w:sz w:val="16"/>
                <w:szCs w:val="16"/>
              </w:rPr>
              <w:t xml:space="preserve">1,110 </w:t>
            </w:r>
          </w:p>
        </w:tc>
        <w:tc>
          <w:tcPr>
            <w:tcW w:w="990" w:type="dxa"/>
            <w:tcBorders>
              <w:top w:val="nil"/>
              <w:left w:val="nil"/>
              <w:bottom w:val="single" w:sz="4" w:space="0" w:color="auto"/>
              <w:right w:val="single" w:sz="4" w:space="0" w:color="auto"/>
            </w:tcBorders>
            <w:noWrap/>
            <w:vAlign w:val="bottom"/>
          </w:tcPr>
          <w:p w:rsidR="00CB3386" w:rsidRPr="00AD151D" w:rsidRDefault="00CB3386" w:rsidP="007D0547">
            <w:pPr>
              <w:keepNext/>
              <w:keepLines/>
              <w:spacing w:before="20" w:afterLines="20" w:after="48"/>
              <w:jc w:val="right"/>
              <w:rPr>
                <w:sz w:val="16"/>
                <w:szCs w:val="16"/>
              </w:rPr>
            </w:pPr>
            <w:r w:rsidRPr="00AD151D">
              <w:rPr>
                <w:sz w:val="16"/>
                <w:szCs w:val="16"/>
              </w:rPr>
              <w:t xml:space="preserve">        1,084 </w:t>
            </w:r>
          </w:p>
        </w:tc>
        <w:tc>
          <w:tcPr>
            <w:tcW w:w="922" w:type="dxa"/>
            <w:tcBorders>
              <w:top w:val="nil"/>
              <w:left w:val="nil"/>
              <w:bottom w:val="single" w:sz="4" w:space="0" w:color="auto"/>
              <w:right w:val="single" w:sz="4" w:space="0" w:color="auto"/>
            </w:tcBorders>
            <w:shd w:val="clear" w:color="000000" w:fill="D9D9D9"/>
            <w:vAlign w:val="bottom"/>
          </w:tcPr>
          <w:p w:rsidR="00CB3386" w:rsidRPr="00AD151D" w:rsidRDefault="00CB3386" w:rsidP="007D0547">
            <w:pPr>
              <w:keepNext/>
              <w:keepLines/>
              <w:spacing w:before="20" w:afterLines="20" w:after="48"/>
              <w:jc w:val="right"/>
              <w:rPr>
                <w:b/>
                <w:sz w:val="16"/>
                <w:szCs w:val="16"/>
              </w:rPr>
            </w:pPr>
            <w:r w:rsidRPr="00AD151D">
              <w:rPr>
                <w:b/>
                <w:sz w:val="16"/>
                <w:szCs w:val="16"/>
              </w:rPr>
              <w:t>27,175</w:t>
            </w:r>
          </w:p>
        </w:tc>
        <w:tc>
          <w:tcPr>
            <w:tcW w:w="1170" w:type="dxa"/>
            <w:tcBorders>
              <w:top w:val="nil"/>
              <w:left w:val="nil"/>
              <w:bottom w:val="single" w:sz="4" w:space="0" w:color="auto"/>
              <w:right w:val="single" w:sz="4" w:space="0" w:color="auto"/>
            </w:tcBorders>
            <w:shd w:val="clear" w:color="000000" w:fill="D9D9D9"/>
            <w:vAlign w:val="bottom"/>
          </w:tcPr>
          <w:p w:rsidR="00CB3386" w:rsidRPr="00AD151D" w:rsidRDefault="00CB3386" w:rsidP="007D0547">
            <w:pPr>
              <w:keepNext/>
              <w:keepLines/>
              <w:spacing w:before="20" w:afterLines="20" w:after="48"/>
              <w:jc w:val="right"/>
              <w:rPr>
                <w:sz w:val="16"/>
                <w:szCs w:val="16"/>
              </w:rPr>
            </w:pPr>
            <w:r w:rsidRPr="00AD151D">
              <w:rPr>
                <w:sz w:val="16"/>
                <w:szCs w:val="16"/>
              </w:rPr>
              <w:t>30,167</w:t>
            </w:r>
          </w:p>
        </w:tc>
        <w:tc>
          <w:tcPr>
            <w:tcW w:w="878" w:type="dxa"/>
            <w:tcBorders>
              <w:top w:val="nil"/>
              <w:left w:val="nil"/>
              <w:bottom w:val="single" w:sz="4" w:space="0" w:color="auto"/>
              <w:right w:val="single" w:sz="4" w:space="0" w:color="auto"/>
            </w:tcBorders>
            <w:noWrap/>
            <w:vAlign w:val="bottom"/>
          </w:tcPr>
          <w:p w:rsidR="00CB3386" w:rsidRPr="00AD151D" w:rsidRDefault="00CB3386" w:rsidP="007D0547">
            <w:pPr>
              <w:keepNext/>
              <w:keepLines/>
              <w:spacing w:before="20" w:afterLines="20" w:after="48"/>
              <w:jc w:val="right"/>
              <w:rPr>
                <w:sz w:val="16"/>
                <w:szCs w:val="16"/>
              </w:rPr>
            </w:pPr>
            <w:r w:rsidRPr="00AD151D">
              <w:rPr>
                <w:sz w:val="16"/>
                <w:szCs w:val="16"/>
              </w:rPr>
              <w:t>32,067</w:t>
            </w:r>
          </w:p>
        </w:tc>
        <w:tc>
          <w:tcPr>
            <w:tcW w:w="1080" w:type="dxa"/>
            <w:tcBorders>
              <w:top w:val="nil"/>
              <w:left w:val="nil"/>
              <w:bottom w:val="single" w:sz="4" w:space="0" w:color="auto"/>
              <w:right w:val="single" w:sz="4" w:space="0" w:color="auto"/>
            </w:tcBorders>
            <w:shd w:val="clear" w:color="000000" w:fill="D9D9D9"/>
            <w:vAlign w:val="bottom"/>
          </w:tcPr>
          <w:p w:rsidR="00CB3386" w:rsidRPr="00AD151D" w:rsidRDefault="00CB3386" w:rsidP="007D0547">
            <w:pPr>
              <w:keepNext/>
              <w:keepLines/>
              <w:spacing w:before="20" w:afterLines="20" w:after="48"/>
              <w:jc w:val="right"/>
              <w:rPr>
                <w:sz w:val="16"/>
                <w:szCs w:val="16"/>
              </w:rPr>
            </w:pPr>
            <w:r w:rsidRPr="00AD151D">
              <w:rPr>
                <w:sz w:val="16"/>
                <w:szCs w:val="16"/>
              </w:rPr>
              <w:t>106%</w:t>
            </w:r>
          </w:p>
        </w:tc>
        <w:tc>
          <w:tcPr>
            <w:tcW w:w="1260" w:type="dxa"/>
            <w:tcBorders>
              <w:top w:val="nil"/>
              <w:left w:val="nil"/>
              <w:bottom w:val="single" w:sz="4" w:space="0" w:color="auto"/>
              <w:right w:val="single" w:sz="4" w:space="0" w:color="auto"/>
            </w:tcBorders>
            <w:shd w:val="clear" w:color="000000" w:fill="D9D9D9"/>
            <w:vAlign w:val="bottom"/>
          </w:tcPr>
          <w:p w:rsidR="00CB3386" w:rsidRPr="00AD151D" w:rsidRDefault="00CB3386" w:rsidP="007D0547">
            <w:pPr>
              <w:keepNext/>
              <w:keepLines/>
              <w:spacing w:before="20" w:afterLines="20" w:after="48"/>
              <w:jc w:val="right"/>
              <w:rPr>
                <w:sz w:val="16"/>
                <w:szCs w:val="16"/>
              </w:rPr>
            </w:pPr>
            <w:r w:rsidRPr="00AD151D">
              <w:rPr>
                <w:sz w:val="16"/>
                <w:szCs w:val="16"/>
              </w:rPr>
              <w:t>118%</w:t>
            </w:r>
          </w:p>
        </w:tc>
      </w:tr>
      <w:tr w:rsidR="00CB3386" w:rsidRPr="00AD151D" w:rsidTr="00C83B76">
        <w:trPr>
          <w:trHeight w:val="347"/>
        </w:trPr>
        <w:tc>
          <w:tcPr>
            <w:tcW w:w="536" w:type="dxa"/>
            <w:tcBorders>
              <w:top w:val="nil"/>
              <w:left w:val="single" w:sz="4" w:space="0" w:color="auto"/>
              <w:bottom w:val="single" w:sz="4" w:space="0" w:color="auto"/>
              <w:right w:val="single" w:sz="4" w:space="0" w:color="auto"/>
            </w:tcBorders>
            <w:vAlign w:val="bottom"/>
          </w:tcPr>
          <w:p w:rsidR="00CB3386" w:rsidRPr="00AD151D" w:rsidRDefault="00CB3386" w:rsidP="007D0547">
            <w:pPr>
              <w:keepNext/>
              <w:keepLines/>
              <w:spacing w:before="20" w:afterLines="20" w:after="48"/>
              <w:jc w:val="right"/>
              <w:rPr>
                <w:b/>
                <w:sz w:val="16"/>
                <w:szCs w:val="16"/>
              </w:rPr>
            </w:pPr>
            <w:r w:rsidRPr="00AD151D">
              <w:rPr>
                <w:b/>
                <w:sz w:val="16"/>
                <w:szCs w:val="16"/>
              </w:rPr>
              <w:t>Mar</w:t>
            </w:r>
          </w:p>
        </w:tc>
        <w:tc>
          <w:tcPr>
            <w:tcW w:w="819" w:type="dxa"/>
            <w:tcBorders>
              <w:top w:val="nil"/>
              <w:left w:val="nil"/>
              <w:bottom w:val="single" w:sz="4" w:space="0" w:color="auto"/>
              <w:right w:val="single" w:sz="4" w:space="0" w:color="auto"/>
            </w:tcBorders>
            <w:vAlign w:val="bottom"/>
          </w:tcPr>
          <w:p w:rsidR="00CB3386" w:rsidRPr="00AD151D" w:rsidRDefault="00CB3386" w:rsidP="007D0547">
            <w:pPr>
              <w:keepNext/>
              <w:keepLines/>
              <w:spacing w:before="20" w:afterLines="20" w:after="48"/>
              <w:jc w:val="right"/>
              <w:rPr>
                <w:sz w:val="16"/>
                <w:szCs w:val="16"/>
              </w:rPr>
            </w:pPr>
            <w:r w:rsidRPr="00AD151D">
              <w:rPr>
                <w:sz w:val="16"/>
                <w:szCs w:val="16"/>
              </w:rPr>
              <w:t xml:space="preserve">28,414 </w:t>
            </w:r>
          </w:p>
        </w:tc>
        <w:tc>
          <w:tcPr>
            <w:tcW w:w="788" w:type="dxa"/>
            <w:tcBorders>
              <w:top w:val="nil"/>
              <w:left w:val="nil"/>
              <w:bottom w:val="single" w:sz="4" w:space="0" w:color="auto"/>
              <w:right w:val="single" w:sz="4" w:space="0" w:color="auto"/>
            </w:tcBorders>
            <w:noWrap/>
            <w:vAlign w:val="bottom"/>
          </w:tcPr>
          <w:p w:rsidR="00CB3386" w:rsidRPr="00AD151D" w:rsidRDefault="00CB3386" w:rsidP="007D0547">
            <w:pPr>
              <w:keepNext/>
              <w:keepLines/>
              <w:spacing w:before="20" w:afterLines="20" w:after="48"/>
              <w:jc w:val="right"/>
              <w:rPr>
                <w:sz w:val="16"/>
                <w:szCs w:val="16"/>
              </w:rPr>
            </w:pPr>
            <w:r w:rsidRPr="00AD151D">
              <w:rPr>
                <w:sz w:val="16"/>
                <w:szCs w:val="16"/>
              </w:rPr>
              <w:t xml:space="preserve">1,150 </w:t>
            </w:r>
          </w:p>
        </w:tc>
        <w:tc>
          <w:tcPr>
            <w:tcW w:w="990" w:type="dxa"/>
            <w:tcBorders>
              <w:top w:val="nil"/>
              <w:left w:val="nil"/>
              <w:bottom w:val="single" w:sz="4" w:space="0" w:color="auto"/>
              <w:right w:val="single" w:sz="4" w:space="0" w:color="auto"/>
            </w:tcBorders>
            <w:noWrap/>
            <w:vAlign w:val="bottom"/>
          </w:tcPr>
          <w:p w:rsidR="00CB3386" w:rsidRPr="00AD151D" w:rsidRDefault="00CB3386" w:rsidP="007D0547">
            <w:pPr>
              <w:keepNext/>
              <w:keepLines/>
              <w:spacing w:before="20" w:afterLines="20" w:after="48"/>
              <w:jc w:val="right"/>
              <w:rPr>
                <w:sz w:val="16"/>
                <w:szCs w:val="16"/>
              </w:rPr>
            </w:pPr>
            <w:r w:rsidRPr="00AD151D">
              <w:rPr>
                <w:sz w:val="16"/>
                <w:szCs w:val="16"/>
              </w:rPr>
              <w:t xml:space="preserve">        1,084 </w:t>
            </w:r>
          </w:p>
        </w:tc>
        <w:tc>
          <w:tcPr>
            <w:tcW w:w="922" w:type="dxa"/>
            <w:tcBorders>
              <w:top w:val="nil"/>
              <w:left w:val="nil"/>
              <w:bottom w:val="single" w:sz="4" w:space="0" w:color="auto"/>
              <w:right w:val="single" w:sz="4" w:space="0" w:color="auto"/>
            </w:tcBorders>
            <w:shd w:val="clear" w:color="000000" w:fill="D9D9D9"/>
            <w:vAlign w:val="bottom"/>
          </w:tcPr>
          <w:p w:rsidR="00CB3386" w:rsidRPr="00AD151D" w:rsidRDefault="00CB3386" w:rsidP="007D0547">
            <w:pPr>
              <w:keepNext/>
              <w:keepLines/>
              <w:spacing w:before="20" w:afterLines="20" w:after="48"/>
              <w:jc w:val="right"/>
              <w:rPr>
                <w:b/>
                <w:sz w:val="16"/>
                <w:szCs w:val="16"/>
              </w:rPr>
            </w:pPr>
            <w:r w:rsidRPr="00AD151D">
              <w:rPr>
                <w:b/>
                <w:sz w:val="16"/>
                <w:szCs w:val="16"/>
              </w:rPr>
              <w:t>27,264</w:t>
            </w:r>
          </w:p>
        </w:tc>
        <w:tc>
          <w:tcPr>
            <w:tcW w:w="1170" w:type="dxa"/>
            <w:tcBorders>
              <w:top w:val="nil"/>
              <w:left w:val="nil"/>
              <w:bottom w:val="single" w:sz="4" w:space="0" w:color="auto"/>
              <w:right w:val="single" w:sz="4" w:space="0" w:color="auto"/>
            </w:tcBorders>
            <w:shd w:val="clear" w:color="000000" w:fill="D9D9D9"/>
            <w:vAlign w:val="bottom"/>
          </w:tcPr>
          <w:p w:rsidR="00CB3386" w:rsidRPr="00AD151D" w:rsidRDefault="00CB3386" w:rsidP="007D0547">
            <w:pPr>
              <w:keepNext/>
              <w:keepLines/>
              <w:spacing w:before="20" w:afterLines="20" w:after="48"/>
              <w:jc w:val="right"/>
              <w:rPr>
                <w:sz w:val="16"/>
                <w:szCs w:val="16"/>
              </w:rPr>
            </w:pPr>
            <w:r w:rsidRPr="00AD151D">
              <w:rPr>
                <w:sz w:val="16"/>
                <w:szCs w:val="16"/>
              </w:rPr>
              <w:t>30,269</w:t>
            </w:r>
          </w:p>
        </w:tc>
        <w:tc>
          <w:tcPr>
            <w:tcW w:w="878" w:type="dxa"/>
            <w:tcBorders>
              <w:top w:val="nil"/>
              <w:left w:val="nil"/>
              <w:bottom w:val="single" w:sz="4" w:space="0" w:color="auto"/>
              <w:right w:val="single" w:sz="4" w:space="0" w:color="auto"/>
            </w:tcBorders>
            <w:noWrap/>
            <w:vAlign w:val="bottom"/>
          </w:tcPr>
          <w:p w:rsidR="00CB3386" w:rsidRPr="00AD151D" w:rsidRDefault="00CB3386" w:rsidP="007D0547">
            <w:pPr>
              <w:keepNext/>
              <w:keepLines/>
              <w:spacing w:before="20" w:afterLines="20" w:after="48"/>
              <w:jc w:val="right"/>
              <w:rPr>
                <w:sz w:val="16"/>
                <w:szCs w:val="16"/>
              </w:rPr>
            </w:pPr>
            <w:r w:rsidRPr="00AD151D">
              <w:rPr>
                <w:sz w:val="16"/>
                <w:szCs w:val="16"/>
              </w:rPr>
              <w:t>32,750</w:t>
            </w:r>
          </w:p>
        </w:tc>
        <w:tc>
          <w:tcPr>
            <w:tcW w:w="1080" w:type="dxa"/>
            <w:tcBorders>
              <w:top w:val="nil"/>
              <w:left w:val="nil"/>
              <w:bottom w:val="single" w:sz="4" w:space="0" w:color="auto"/>
              <w:right w:val="single" w:sz="4" w:space="0" w:color="auto"/>
            </w:tcBorders>
            <w:shd w:val="clear" w:color="000000" w:fill="D9D9D9"/>
            <w:vAlign w:val="bottom"/>
          </w:tcPr>
          <w:p w:rsidR="00CB3386" w:rsidRPr="00AD151D" w:rsidRDefault="00CB3386" w:rsidP="007D0547">
            <w:pPr>
              <w:keepNext/>
              <w:keepLines/>
              <w:spacing w:before="20" w:afterLines="20" w:after="48"/>
              <w:jc w:val="right"/>
              <w:rPr>
                <w:sz w:val="16"/>
                <w:szCs w:val="16"/>
              </w:rPr>
            </w:pPr>
            <w:r w:rsidRPr="00AD151D">
              <w:rPr>
                <w:sz w:val="16"/>
                <w:szCs w:val="16"/>
              </w:rPr>
              <w:t>108%</w:t>
            </w:r>
          </w:p>
        </w:tc>
        <w:tc>
          <w:tcPr>
            <w:tcW w:w="1260" w:type="dxa"/>
            <w:tcBorders>
              <w:top w:val="nil"/>
              <w:left w:val="nil"/>
              <w:bottom w:val="single" w:sz="4" w:space="0" w:color="auto"/>
              <w:right w:val="single" w:sz="4" w:space="0" w:color="auto"/>
            </w:tcBorders>
            <w:shd w:val="clear" w:color="000000" w:fill="D9D9D9"/>
            <w:vAlign w:val="bottom"/>
          </w:tcPr>
          <w:p w:rsidR="00CB3386" w:rsidRPr="00AD151D" w:rsidRDefault="00CB3386" w:rsidP="007D0547">
            <w:pPr>
              <w:keepNext/>
              <w:keepLines/>
              <w:spacing w:before="20" w:afterLines="20" w:after="48"/>
              <w:jc w:val="right"/>
              <w:rPr>
                <w:sz w:val="16"/>
                <w:szCs w:val="16"/>
              </w:rPr>
            </w:pPr>
            <w:r w:rsidRPr="00AD151D">
              <w:rPr>
                <w:sz w:val="16"/>
                <w:szCs w:val="16"/>
              </w:rPr>
              <w:t>120%</w:t>
            </w:r>
          </w:p>
        </w:tc>
      </w:tr>
      <w:tr w:rsidR="00CB3386" w:rsidRPr="00AD151D" w:rsidTr="00C83B76">
        <w:trPr>
          <w:trHeight w:val="347"/>
        </w:trPr>
        <w:tc>
          <w:tcPr>
            <w:tcW w:w="536" w:type="dxa"/>
            <w:tcBorders>
              <w:top w:val="nil"/>
              <w:left w:val="single" w:sz="4" w:space="0" w:color="auto"/>
              <w:bottom w:val="single" w:sz="4" w:space="0" w:color="auto"/>
              <w:right w:val="single" w:sz="4" w:space="0" w:color="auto"/>
            </w:tcBorders>
            <w:vAlign w:val="bottom"/>
          </w:tcPr>
          <w:p w:rsidR="00CB3386" w:rsidRPr="00AD151D" w:rsidRDefault="00CB3386" w:rsidP="007D0547">
            <w:pPr>
              <w:keepNext/>
              <w:keepLines/>
              <w:spacing w:before="20" w:afterLines="20" w:after="48"/>
              <w:jc w:val="right"/>
              <w:rPr>
                <w:b/>
                <w:sz w:val="16"/>
                <w:szCs w:val="16"/>
              </w:rPr>
            </w:pPr>
            <w:r w:rsidRPr="00AD151D">
              <w:rPr>
                <w:b/>
                <w:sz w:val="16"/>
                <w:szCs w:val="16"/>
              </w:rPr>
              <w:t>Apr</w:t>
            </w:r>
          </w:p>
        </w:tc>
        <w:tc>
          <w:tcPr>
            <w:tcW w:w="819" w:type="dxa"/>
            <w:tcBorders>
              <w:top w:val="nil"/>
              <w:left w:val="nil"/>
              <w:bottom w:val="single" w:sz="4" w:space="0" w:color="auto"/>
              <w:right w:val="single" w:sz="4" w:space="0" w:color="auto"/>
            </w:tcBorders>
            <w:vAlign w:val="bottom"/>
          </w:tcPr>
          <w:p w:rsidR="00CB3386" w:rsidRPr="00AD151D" w:rsidRDefault="00CB3386" w:rsidP="007D0547">
            <w:pPr>
              <w:keepNext/>
              <w:keepLines/>
              <w:spacing w:before="20" w:afterLines="20" w:after="48"/>
              <w:jc w:val="right"/>
              <w:rPr>
                <w:sz w:val="16"/>
                <w:szCs w:val="16"/>
              </w:rPr>
            </w:pPr>
            <w:r w:rsidRPr="00AD151D">
              <w:rPr>
                <w:sz w:val="16"/>
                <w:szCs w:val="16"/>
              </w:rPr>
              <w:t xml:space="preserve">30,175 </w:t>
            </w:r>
          </w:p>
        </w:tc>
        <w:tc>
          <w:tcPr>
            <w:tcW w:w="788" w:type="dxa"/>
            <w:tcBorders>
              <w:top w:val="nil"/>
              <w:left w:val="nil"/>
              <w:bottom w:val="single" w:sz="4" w:space="0" w:color="auto"/>
              <w:right w:val="single" w:sz="4" w:space="0" w:color="auto"/>
            </w:tcBorders>
            <w:noWrap/>
            <w:vAlign w:val="bottom"/>
          </w:tcPr>
          <w:p w:rsidR="00CB3386" w:rsidRPr="00AD151D" w:rsidRDefault="00CB3386" w:rsidP="007D0547">
            <w:pPr>
              <w:keepNext/>
              <w:keepLines/>
              <w:spacing w:before="20" w:afterLines="20" w:after="48"/>
              <w:jc w:val="right"/>
              <w:rPr>
                <w:sz w:val="16"/>
                <w:szCs w:val="16"/>
              </w:rPr>
            </w:pPr>
            <w:r w:rsidRPr="00AD151D">
              <w:rPr>
                <w:sz w:val="16"/>
                <w:szCs w:val="16"/>
              </w:rPr>
              <w:t xml:space="preserve">1,265 </w:t>
            </w:r>
          </w:p>
        </w:tc>
        <w:tc>
          <w:tcPr>
            <w:tcW w:w="990" w:type="dxa"/>
            <w:tcBorders>
              <w:top w:val="nil"/>
              <w:left w:val="nil"/>
              <w:bottom w:val="single" w:sz="4" w:space="0" w:color="auto"/>
              <w:right w:val="single" w:sz="4" w:space="0" w:color="auto"/>
            </w:tcBorders>
            <w:noWrap/>
            <w:vAlign w:val="bottom"/>
          </w:tcPr>
          <w:p w:rsidR="00CB3386" w:rsidRPr="00AD151D" w:rsidRDefault="00CB3386" w:rsidP="007D0547">
            <w:pPr>
              <w:keepNext/>
              <w:keepLines/>
              <w:spacing w:before="20" w:afterLines="20" w:after="48"/>
              <w:jc w:val="right"/>
              <w:rPr>
                <w:sz w:val="16"/>
                <w:szCs w:val="16"/>
              </w:rPr>
            </w:pPr>
            <w:r w:rsidRPr="00AD151D">
              <w:rPr>
                <w:sz w:val="16"/>
                <w:szCs w:val="16"/>
              </w:rPr>
              <w:t xml:space="preserve">        1,084 </w:t>
            </w:r>
          </w:p>
        </w:tc>
        <w:tc>
          <w:tcPr>
            <w:tcW w:w="922" w:type="dxa"/>
            <w:tcBorders>
              <w:top w:val="nil"/>
              <w:left w:val="nil"/>
              <w:bottom w:val="single" w:sz="4" w:space="0" w:color="auto"/>
              <w:right w:val="single" w:sz="4" w:space="0" w:color="auto"/>
            </w:tcBorders>
            <w:shd w:val="clear" w:color="000000" w:fill="D9D9D9"/>
            <w:vAlign w:val="bottom"/>
          </w:tcPr>
          <w:p w:rsidR="00CB3386" w:rsidRPr="00AD151D" w:rsidRDefault="00CB3386" w:rsidP="007D0547">
            <w:pPr>
              <w:keepNext/>
              <w:keepLines/>
              <w:spacing w:before="20" w:afterLines="20" w:after="48"/>
              <w:jc w:val="right"/>
              <w:rPr>
                <w:b/>
                <w:sz w:val="16"/>
                <w:szCs w:val="16"/>
              </w:rPr>
            </w:pPr>
            <w:r w:rsidRPr="00AD151D">
              <w:rPr>
                <w:b/>
                <w:sz w:val="16"/>
                <w:szCs w:val="16"/>
              </w:rPr>
              <w:t>28,910</w:t>
            </w:r>
          </w:p>
        </w:tc>
        <w:tc>
          <w:tcPr>
            <w:tcW w:w="1170" w:type="dxa"/>
            <w:tcBorders>
              <w:top w:val="nil"/>
              <w:left w:val="nil"/>
              <w:bottom w:val="single" w:sz="4" w:space="0" w:color="auto"/>
              <w:right w:val="single" w:sz="4" w:space="0" w:color="auto"/>
            </w:tcBorders>
            <w:shd w:val="clear" w:color="000000" w:fill="D9D9D9"/>
            <w:vAlign w:val="bottom"/>
          </w:tcPr>
          <w:p w:rsidR="00CB3386" w:rsidRPr="00AD151D" w:rsidRDefault="00CB3386" w:rsidP="007D0547">
            <w:pPr>
              <w:keepNext/>
              <w:keepLines/>
              <w:spacing w:before="20" w:afterLines="20" w:after="48"/>
              <w:jc w:val="right"/>
              <w:rPr>
                <w:sz w:val="16"/>
                <w:szCs w:val="16"/>
              </w:rPr>
            </w:pPr>
            <w:r w:rsidRPr="00AD151D">
              <w:rPr>
                <w:sz w:val="16"/>
                <w:szCs w:val="16"/>
              </w:rPr>
              <w:t>32,162</w:t>
            </w:r>
          </w:p>
        </w:tc>
        <w:tc>
          <w:tcPr>
            <w:tcW w:w="878" w:type="dxa"/>
            <w:tcBorders>
              <w:top w:val="nil"/>
              <w:left w:val="nil"/>
              <w:bottom w:val="single" w:sz="4" w:space="0" w:color="auto"/>
              <w:right w:val="single" w:sz="4" w:space="0" w:color="auto"/>
            </w:tcBorders>
            <w:noWrap/>
            <w:vAlign w:val="bottom"/>
          </w:tcPr>
          <w:p w:rsidR="00CB3386" w:rsidRPr="00AD151D" w:rsidRDefault="00CB3386" w:rsidP="007D0547">
            <w:pPr>
              <w:keepNext/>
              <w:keepLines/>
              <w:spacing w:before="20" w:afterLines="20" w:after="48"/>
              <w:jc w:val="right"/>
              <w:rPr>
                <w:sz w:val="16"/>
                <w:szCs w:val="16"/>
              </w:rPr>
            </w:pPr>
            <w:r w:rsidRPr="00AD151D">
              <w:rPr>
                <w:sz w:val="16"/>
                <w:szCs w:val="16"/>
              </w:rPr>
              <w:t>34,515</w:t>
            </w:r>
          </w:p>
        </w:tc>
        <w:tc>
          <w:tcPr>
            <w:tcW w:w="1080" w:type="dxa"/>
            <w:tcBorders>
              <w:top w:val="nil"/>
              <w:left w:val="nil"/>
              <w:bottom w:val="single" w:sz="4" w:space="0" w:color="auto"/>
              <w:right w:val="single" w:sz="4" w:space="0" w:color="auto"/>
            </w:tcBorders>
            <w:shd w:val="clear" w:color="000000" w:fill="D9D9D9"/>
            <w:vAlign w:val="bottom"/>
          </w:tcPr>
          <w:p w:rsidR="00CB3386" w:rsidRPr="00AD151D" w:rsidRDefault="00CB3386" w:rsidP="007D0547">
            <w:pPr>
              <w:keepNext/>
              <w:keepLines/>
              <w:spacing w:before="20" w:afterLines="20" w:after="48"/>
              <w:jc w:val="right"/>
              <w:rPr>
                <w:sz w:val="16"/>
                <w:szCs w:val="16"/>
              </w:rPr>
            </w:pPr>
            <w:r w:rsidRPr="00AD151D">
              <w:rPr>
                <w:sz w:val="16"/>
                <w:szCs w:val="16"/>
              </w:rPr>
              <w:t>107%</w:t>
            </w:r>
          </w:p>
        </w:tc>
        <w:tc>
          <w:tcPr>
            <w:tcW w:w="1260" w:type="dxa"/>
            <w:tcBorders>
              <w:top w:val="nil"/>
              <w:left w:val="nil"/>
              <w:bottom w:val="single" w:sz="4" w:space="0" w:color="auto"/>
              <w:right w:val="single" w:sz="4" w:space="0" w:color="auto"/>
            </w:tcBorders>
            <w:shd w:val="clear" w:color="000000" w:fill="D9D9D9"/>
            <w:vAlign w:val="bottom"/>
          </w:tcPr>
          <w:p w:rsidR="00CB3386" w:rsidRPr="00AD151D" w:rsidRDefault="00CB3386" w:rsidP="007D0547">
            <w:pPr>
              <w:keepNext/>
              <w:keepLines/>
              <w:spacing w:before="20" w:afterLines="20" w:after="48"/>
              <w:jc w:val="right"/>
              <w:rPr>
                <w:sz w:val="16"/>
                <w:szCs w:val="16"/>
              </w:rPr>
            </w:pPr>
            <w:r w:rsidRPr="00AD151D">
              <w:rPr>
                <w:sz w:val="16"/>
                <w:szCs w:val="16"/>
              </w:rPr>
              <w:t>119%</w:t>
            </w:r>
          </w:p>
        </w:tc>
      </w:tr>
      <w:tr w:rsidR="00CB3386" w:rsidRPr="00AD151D" w:rsidTr="00C83B76">
        <w:trPr>
          <w:trHeight w:val="347"/>
        </w:trPr>
        <w:tc>
          <w:tcPr>
            <w:tcW w:w="536" w:type="dxa"/>
            <w:tcBorders>
              <w:top w:val="nil"/>
              <w:left w:val="single" w:sz="4" w:space="0" w:color="auto"/>
              <w:bottom w:val="single" w:sz="4" w:space="0" w:color="auto"/>
              <w:right w:val="single" w:sz="4" w:space="0" w:color="auto"/>
            </w:tcBorders>
            <w:vAlign w:val="bottom"/>
          </w:tcPr>
          <w:p w:rsidR="00CB3386" w:rsidRPr="00AD151D" w:rsidRDefault="00CB3386" w:rsidP="007D0547">
            <w:pPr>
              <w:keepNext/>
              <w:keepLines/>
              <w:spacing w:before="20" w:afterLines="20" w:after="48"/>
              <w:jc w:val="right"/>
              <w:rPr>
                <w:b/>
                <w:sz w:val="16"/>
                <w:szCs w:val="16"/>
              </w:rPr>
            </w:pPr>
            <w:r w:rsidRPr="00AD151D">
              <w:rPr>
                <w:b/>
                <w:sz w:val="16"/>
                <w:szCs w:val="16"/>
              </w:rPr>
              <w:t>May</w:t>
            </w:r>
          </w:p>
        </w:tc>
        <w:tc>
          <w:tcPr>
            <w:tcW w:w="819" w:type="dxa"/>
            <w:tcBorders>
              <w:top w:val="nil"/>
              <w:left w:val="nil"/>
              <w:bottom w:val="single" w:sz="4" w:space="0" w:color="auto"/>
              <w:right w:val="single" w:sz="4" w:space="0" w:color="auto"/>
            </w:tcBorders>
            <w:vAlign w:val="bottom"/>
          </w:tcPr>
          <w:p w:rsidR="00CB3386" w:rsidRPr="00AD151D" w:rsidRDefault="00CB3386" w:rsidP="007D0547">
            <w:pPr>
              <w:keepNext/>
              <w:keepLines/>
              <w:spacing w:before="20" w:afterLines="20" w:after="48"/>
              <w:jc w:val="right"/>
              <w:rPr>
                <w:sz w:val="16"/>
                <w:szCs w:val="16"/>
              </w:rPr>
            </w:pPr>
            <w:r w:rsidRPr="00AD151D">
              <w:rPr>
                <w:sz w:val="16"/>
                <w:szCs w:val="16"/>
              </w:rPr>
              <w:t xml:space="preserve">34,397 </w:t>
            </w:r>
          </w:p>
        </w:tc>
        <w:tc>
          <w:tcPr>
            <w:tcW w:w="788" w:type="dxa"/>
            <w:tcBorders>
              <w:top w:val="nil"/>
              <w:left w:val="nil"/>
              <w:bottom w:val="single" w:sz="4" w:space="0" w:color="auto"/>
              <w:right w:val="single" w:sz="4" w:space="0" w:color="auto"/>
            </w:tcBorders>
            <w:noWrap/>
            <w:vAlign w:val="bottom"/>
          </w:tcPr>
          <w:p w:rsidR="00CB3386" w:rsidRPr="00AD151D" w:rsidRDefault="00CB3386" w:rsidP="007D0547">
            <w:pPr>
              <w:keepNext/>
              <w:keepLines/>
              <w:spacing w:before="20" w:afterLines="20" w:after="48"/>
              <w:jc w:val="right"/>
              <w:rPr>
                <w:sz w:val="16"/>
                <w:szCs w:val="16"/>
              </w:rPr>
            </w:pPr>
            <w:r w:rsidRPr="00AD151D">
              <w:rPr>
                <w:sz w:val="16"/>
                <w:szCs w:val="16"/>
              </w:rPr>
              <w:t xml:space="preserve">1,740 </w:t>
            </w:r>
          </w:p>
        </w:tc>
        <w:tc>
          <w:tcPr>
            <w:tcW w:w="990" w:type="dxa"/>
            <w:tcBorders>
              <w:top w:val="nil"/>
              <w:left w:val="nil"/>
              <w:bottom w:val="single" w:sz="4" w:space="0" w:color="auto"/>
              <w:right w:val="single" w:sz="4" w:space="0" w:color="auto"/>
            </w:tcBorders>
            <w:noWrap/>
            <w:vAlign w:val="bottom"/>
          </w:tcPr>
          <w:p w:rsidR="00CB3386" w:rsidRPr="00AD151D" w:rsidRDefault="00CB3386" w:rsidP="007D0547">
            <w:pPr>
              <w:keepNext/>
              <w:keepLines/>
              <w:spacing w:before="20" w:afterLines="20" w:after="48"/>
              <w:jc w:val="right"/>
              <w:rPr>
                <w:sz w:val="16"/>
                <w:szCs w:val="16"/>
              </w:rPr>
            </w:pPr>
            <w:r w:rsidRPr="00AD151D">
              <w:rPr>
                <w:sz w:val="16"/>
                <w:szCs w:val="16"/>
              </w:rPr>
              <w:t xml:space="preserve">        1,084 </w:t>
            </w:r>
          </w:p>
        </w:tc>
        <w:tc>
          <w:tcPr>
            <w:tcW w:w="922" w:type="dxa"/>
            <w:tcBorders>
              <w:top w:val="nil"/>
              <w:left w:val="nil"/>
              <w:bottom w:val="single" w:sz="4" w:space="0" w:color="auto"/>
              <w:right w:val="single" w:sz="4" w:space="0" w:color="auto"/>
            </w:tcBorders>
            <w:shd w:val="clear" w:color="000000" w:fill="D9D9D9"/>
            <w:vAlign w:val="bottom"/>
          </w:tcPr>
          <w:p w:rsidR="00CB3386" w:rsidRPr="00AD151D" w:rsidRDefault="00CB3386" w:rsidP="007D0547">
            <w:pPr>
              <w:keepNext/>
              <w:keepLines/>
              <w:spacing w:before="20" w:afterLines="20" w:after="48"/>
              <w:jc w:val="right"/>
              <w:rPr>
                <w:b/>
                <w:sz w:val="16"/>
                <w:szCs w:val="16"/>
              </w:rPr>
            </w:pPr>
            <w:r w:rsidRPr="00AD151D">
              <w:rPr>
                <w:b/>
                <w:sz w:val="16"/>
                <w:szCs w:val="16"/>
              </w:rPr>
              <w:t>32,656</w:t>
            </w:r>
          </w:p>
        </w:tc>
        <w:tc>
          <w:tcPr>
            <w:tcW w:w="1170" w:type="dxa"/>
            <w:tcBorders>
              <w:top w:val="nil"/>
              <w:left w:val="nil"/>
              <w:bottom w:val="single" w:sz="4" w:space="0" w:color="auto"/>
              <w:right w:val="single" w:sz="4" w:space="0" w:color="auto"/>
            </w:tcBorders>
            <w:shd w:val="clear" w:color="000000" w:fill="D9D9D9"/>
            <w:vAlign w:val="bottom"/>
          </w:tcPr>
          <w:p w:rsidR="00CB3386" w:rsidRPr="00AD151D" w:rsidRDefault="00CB3386" w:rsidP="007D0547">
            <w:pPr>
              <w:keepNext/>
              <w:keepLines/>
              <w:spacing w:before="20" w:afterLines="20" w:after="48"/>
              <w:jc w:val="right"/>
              <w:rPr>
                <w:sz w:val="16"/>
                <w:szCs w:val="16"/>
              </w:rPr>
            </w:pPr>
            <w:r w:rsidRPr="00AD151D">
              <w:rPr>
                <w:sz w:val="16"/>
                <w:szCs w:val="16"/>
              </w:rPr>
              <w:t>36,471</w:t>
            </w:r>
          </w:p>
        </w:tc>
        <w:tc>
          <w:tcPr>
            <w:tcW w:w="878" w:type="dxa"/>
            <w:tcBorders>
              <w:top w:val="nil"/>
              <w:left w:val="nil"/>
              <w:bottom w:val="single" w:sz="4" w:space="0" w:color="auto"/>
              <w:right w:val="single" w:sz="4" w:space="0" w:color="auto"/>
            </w:tcBorders>
            <w:noWrap/>
            <w:vAlign w:val="bottom"/>
          </w:tcPr>
          <w:p w:rsidR="00CB3386" w:rsidRPr="00AD151D" w:rsidRDefault="00CB3386" w:rsidP="007D0547">
            <w:pPr>
              <w:keepNext/>
              <w:keepLines/>
              <w:spacing w:before="20" w:afterLines="20" w:after="48"/>
              <w:jc w:val="right"/>
              <w:rPr>
                <w:sz w:val="16"/>
                <w:szCs w:val="16"/>
              </w:rPr>
            </w:pPr>
            <w:r w:rsidRPr="00AD151D">
              <w:rPr>
                <w:sz w:val="16"/>
                <w:szCs w:val="16"/>
              </w:rPr>
              <w:t>37,576</w:t>
            </w:r>
          </w:p>
        </w:tc>
        <w:tc>
          <w:tcPr>
            <w:tcW w:w="1080" w:type="dxa"/>
            <w:tcBorders>
              <w:top w:val="nil"/>
              <w:left w:val="nil"/>
              <w:bottom w:val="single" w:sz="4" w:space="0" w:color="auto"/>
              <w:right w:val="single" w:sz="4" w:space="0" w:color="auto"/>
            </w:tcBorders>
            <w:shd w:val="clear" w:color="000000" w:fill="D9D9D9"/>
            <w:vAlign w:val="bottom"/>
          </w:tcPr>
          <w:p w:rsidR="00CB3386" w:rsidRPr="00AD151D" w:rsidRDefault="00CB3386" w:rsidP="007D0547">
            <w:pPr>
              <w:keepNext/>
              <w:keepLines/>
              <w:spacing w:before="20" w:afterLines="20" w:after="48"/>
              <w:jc w:val="right"/>
              <w:rPr>
                <w:sz w:val="16"/>
                <w:szCs w:val="16"/>
              </w:rPr>
            </w:pPr>
            <w:r w:rsidRPr="00AD151D">
              <w:rPr>
                <w:sz w:val="16"/>
                <w:szCs w:val="16"/>
              </w:rPr>
              <w:t>103%</w:t>
            </w:r>
          </w:p>
        </w:tc>
        <w:tc>
          <w:tcPr>
            <w:tcW w:w="1260" w:type="dxa"/>
            <w:tcBorders>
              <w:top w:val="nil"/>
              <w:left w:val="nil"/>
              <w:bottom w:val="single" w:sz="4" w:space="0" w:color="auto"/>
              <w:right w:val="single" w:sz="4" w:space="0" w:color="auto"/>
            </w:tcBorders>
            <w:shd w:val="clear" w:color="000000" w:fill="D9D9D9"/>
            <w:vAlign w:val="bottom"/>
          </w:tcPr>
          <w:p w:rsidR="00CB3386" w:rsidRPr="00AD151D" w:rsidRDefault="00CB3386" w:rsidP="007D0547">
            <w:pPr>
              <w:keepNext/>
              <w:keepLines/>
              <w:spacing w:before="20" w:afterLines="20" w:after="48"/>
              <w:jc w:val="right"/>
              <w:rPr>
                <w:sz w:val="16"/>
                <w:szCs w:val="16"/>
              </w:rPr>
            </w:pPr>
            <w:r w:rsidRPr="00AD151D">
              <w:rPr>
                <w:sz w:val="16"/>
                <w:szCs w:val="16"/>
              </w:rPr>
              <w:t>115%</w:t>
            </w:r>
          </w:p>
        </w:tc>
      </w:tr>
      <w:tr w:rsidR="00CB3386" w:rsidRPr="00AD151D" w:rsidTr="00C83B76">
        <w:trPr>
          <w:trHeight w:val="347"/>
        </w:trPr>
        <w:tc>
          <w:tcPr>
            <w:tcW w:w="536" w:type="dxa"/>
            <w:tcBorders>
              <w:top w:val="nil"/>
              <w:left w:val="single" w:sz="4" w:space="0" w:color="auto"/>
              <w:bottom w:val="single" w:sz="4" w:space="0" w:color="auto"/>
              <w:right w:val="single" w:sz="4" w:space="0" w:color="auto"/>
            </w:tcBorders>
            <w:vAlign w:val="bottom"/>
          </w:tcPr>
          <w:p w:rsidR="00CB3386" w:rsidRPr="00AD151D" w:rsidRDefault="00CB3386" w:rsidP="007D0547">
            <w:pPr>
              <w:keepNext/>
              <w:keepLines/>
              <w:spacing w:before="20" w:afterLines="20" w:after="48"/>
              <w:jc w:val="right"/>
              <w:rPr>
                <w:b/>
                <w:sz w:val="16"/>
                <w:szCs w:val="16"/>
              </w:rPr>
            </w:pPr>
            <w:r w:rsidRPr="00AD151D">
              <w:rPr>
                <w:b/>
                <w:sz w:val="16"/>
                <w:szCs w:val="16"/>
              </w:rPr>
              <w:t>Jun</w:t>
            </w:r>
          </w:p>
        </w:tc>
        <w:tc>
          <w:tcPr>
            <w:tcW w:w="819" w:type="dxa"/>
            <w:tcBorders>
              <w:top w:val="nil"/>
              <w:left w:val="nil"/>
              <w:bottom w:val="single" w:sz="4" w:space="0" w:color="auto"/>
              <w:right w:val="single" w:sz="4" w:space="0" w:color="auto"/>
            </w:tcBorders>
            <w:vAlign w:val="bottom"/>
          </w:tcPr>
          <w:p w:rsidR="00CB3386" w:rsidRPr="00AD151D" w:rsidRDefault="00CB3386" w:rsidP="007D0547">
            <w:pPr>
              <w:keepNext/>
              <w:keepLines/>
              <w:spacing w:before="20" w:afterLines="20" w:after="48"/>
              <w:jc w:val="right"/>
              <w:rPr>
                <w:sz w:val="16"/>
                <w:szCs w:val="16"/>
              </w:rPr>
            </w:pPr>
            <w:r w:rsidRPr="00AD151D">
              <w:rPr>
                <w:sz w:val="16"/>
                <w:szCs w:val="16"/>
              </w:rPr>
              <w:t xml:space="preserve">39,063 </w:t>
            </w:r>
          </w:p>
        </w:tc>
        <w:tc>
          <w:tcPr>
            <w:tcW w:w="788" w:type="dxa"/>
            <w:tcBorders>
              <w:top w:val="nil"/>
              <w:left w:val="nil"/>
              <w:bottom w:val="single" w:sz="4" w:space="0" w:color="auto"/>
              <w:right w:val="single" w:sz="4" w:space="0" w:color="auto"/>
            </w:tcBorders>
            <w:noWrap/>
            <w:vAlign w:val="bottom"/>
          </w:tcPr>
          <w:p w:rsidR="00CB3386" w:rsidRPr="00AD151D" w:rsidRDefault="00CB3386" w:rsidP="007D0547">
            <w:pPr>
              <w:keepNext/>
              <w:keepLines/>
              <w:spacing w:before="20" w:afterLines="20" w:after="48"/>
              <w:jc w:val="right"/>
              <w:rPr>
                <w:sz w:val="16"/>
                <w:szCs w:val="16"/>
              </w:rPr>
            </w:pPr>
            <w:r w:rsidRPr="00AD151D">
              <w:rPr>
                <w:sz w:val="16"/>
                <w:szCs w:val="16"/>
              </w:rPr>
              <w:t xml:space="preserve">2,337 </w:t>
            </w:r>
          </w:p>
        </w:tc>
        <w:tc>
          <w:tcPr>
            <w:tcW w:w="990" w:type="dxa"/>
            <w:tcBorders>
              <w:top w:val="nil"/>
              <w:left w:val="nil"/>
              <w:bottom w:val="single" w:sz="4" w:space="0" w:color="auto"/>
              <w:right w:val="single" w:sz="4" w:space="0" w:color="auto"/>
            </w:tcBorders>
            <w:noWrap/>
            <w:vAlign w:val="bottom"/>
          </w:tcPr>
          <w:p w:rsidR="00CB3386" w:rsidRPr="00AD151D" w:rsidRDefault="00CB3386" w:rsidP="007D0547">
            <w:pPr>
              <w:keepNext/>
              <w:keepLines/>
              <w:spacing w:before="20" w:afterLines="20" w:after="48"/>
              <w:jc w:val="right"/>
              <w:rPr>
                <w:sz w:val="16"/>
                <w:szCs w:val="16"/>
              </w:rPr>
            </w:pPr>
            <w:r w:rsidRPr="00AD151D">
              <w:rPr>
                <w:sz w:val="16"/>
                <w:szCs w:val="16"/>
              </w:rPr>
              <w:t xml:space="preserve">        1,084 </w:t>
            </w:r>
          </w:p>
        </w:tc>
        <w:tc>
          <w:tcPr>
            <w:tcW w:w="922" w:type="dxa"/>
            <w:tcBorders>
              <w:top w:val="nil"/>
              <w:left w:val="nil"/>
              <w:bottom w:val="single" w:sz="4" w:space="0" w:color="auto"/>
              <w:right w:val="single" w:sz="4" w:space="0" w:color="auto"/>
            </w:tcBorders>
            <w:shd w:val="clear" w:color="000000" w:fill="D9D9D9"/>
            <w:vAlign w:val="bottom"/>
          </w:tcPr>
          <w:p w:rsidR="00CB3386" w:rsidRPr="00AD151D" w:rsidRDefault="00CB3386" w:rsidP="007D0547">
            <w:pPr>
              <w:keepNext/>
              <w:keepLines/>
              <w:spacing w:before="20" w:afterLines="20" w:after="48"/>
              <w:jc w:val="right"/>
              <w:rPr>
                <w:b/>
                <w:sz w:val="16"/>
                <w:szCs w:val="16"/>
              </w:rPr>
            </w:pPr>
            <w:r w:rsidRPr="00AD151D">
              <w:rPr>
                <w:b/>
                <w:sz w:val="16"/>
                <w:szCs w:val="16"/>
              </w:rPr>
              <w:t>36,726</w:t>
            </w:r>
          </w:p>
        </w:tc>
        <w:tc>
          <w:tcPr>
            <w:tcW w:w="1170" w:type="dxa"/>
            <w:tcBorders>
              <w:top w:val="nil"/>
              <w:left w:val="nil"/>
              <w:bottom w:val="single" w:sz="4" w:space="0" w:color="auto"/>
              <w:right w:val="single" w:sz="4" w:space="0" w:color="auto"/>
            </w:tcBorders>
            <w:shd w:val="clear" w:color="000000" w:fill="D9D9D9"/>
            <w:vAlign w:val="bottom"/>
          </w:tcPr>
          <w:p w:rsidR="00CB3386" w:rsidRPr="00AD151D" w:rsidRDefault="00CB3386" w:rsidP="007D0547">
            <w:pPr>
              <w:keepNext/>
              <w:keepLines/>
              <w:spacing w:before="20" w:afterLines="20" w:after="48"/>
              <w:jc w:val="right"/>
              <w:rPr>
                <w:sz w:val="16"/>
                <w:szCs w:val="16"/>
              </w:rPr>
            </w:pPr>
            <w:r w:rsidRPr="00AD151D">
              <w:rPr>
                <w:sz w:val="16"/>
                <w:szCs w:val="16"/>
              </w:rPr>
              <w:t>41,150</w:t>
            </w:r>
          </w:p>
        </w:tc>
        <w:tc>
          <w:tcPr>
            <w:tcW w:w="878" w:type="dxa"/>
            <w:tcBorders>
              <w:top w:val="nil"/>
              <w:left w:val="nil"/>
              <w:bottom w:val="single" w:sz="4" w:space="0" w:color="auto"/>
              <w:right w:val="single" w:sz="4" w:space="0" w:color="auto"/>
            </w:tcBorders>
            <w:noWrap/>
            <w:vAlign w:val="bottom"/>
          </w:tcPr>
          <w:p w:rsidR="00CB3386" w:rsidRPr="00AD151D" w:rsidRDefault="00CB3386" w:rsidP="007D0547">
            <w:pPr>
              <w:keepNext/>
              <w:keepLines/>
              <w:spacing w:before="20" w:afterLines="20" w:after="48"/>
              <w:jc w:val="right"/>
              <w:rPr>
                <w:sz w:val="16"/>
                <w:szCs w:val="16"/>
              </w:rPr>
            </w:pPr>
            <w:r w:rsidRPr="00AD151D">
              <w:rPr>
                <w:sz w:val="16"/>
                <w:szCs w:val="16"/>
              </w:rPr>
              <w:t>42,633</w:t>
            </w:r>
          </w:p>
        </w:tc>
        <w:tc>
          <w:tcPr>
            <w:tcW w:w="1080" w:type="dxa"/>
            <w:tcBorders>
              <w:top w:val="nil"/>
              <w:left w:val="nil"/>
              <w:bottom w:val="single" w:sz="4" w:space="0" w:color="auto"/>
              <w:right w:val="single" w:sz="4" w:space="0" w:color="auto"/>
            </w:tcBorders>
            <w:shd w:val="clear" w:color="000000" w:fill="D9D9D9"/>
            <w:vAlign w:val="bottom"/>
          </w:tcPr>
          <w:p w:rsidR="00CB3386" w:rsidRPr="00AD151D" w:rsidRDefault="00CB3386" w:rsidP="007D0547">
            <w:pPr>
              <w:keepNext/>
              <w:keepLines/>
              <w:spacing w:before="20" w:afterLines="20" w:after="48"/>
              <w:jc w:val="right"/>
              <w:rPr>
                <w:sz w:val="16"/>
                <w:szCs w:val="16"/>
              </w:rPr>
            </w:pPr>
            <w:r w:rsidRPr="00AD151D">
              <w:rPr>
                <w:sz w:val="16"/>
                <w:szCs w:val="16"/>
              </w:rPr>
              <w:t>104%</w:t>
            </w:r>
          </w:p>
        </w:tc>
        <w:tc>
          <w:tcPr>
            <w:tcW w:w="1260" w:type="dxa"/>
            <w:tcBorders>
              <w:top w:val="nil"/>
              <w:left w:val="nil"/>
              <w:bottom w:val="single" w:sz="4" w:space="0" w:color="auto"/>
              <w:right w:val="single" w:sz="4" w:space="0" w:color="auto"/>
            </w:tcBorders>
            <w:shd w:val="clear" w:color="000000" w:fill="D9D9D9"/>
            <w:vAlign w:val="bottom"/>
          </w:tcPr>
          <w:p w:rsidR="00CB3386" w:rsidRPr="00AD151D" w:rsidRDefault="00CB3386" w:rsidP="007D0547">
            <w:pPr>
              <w:keepNext/>
              <w:keepLines/>
              <w:spacing w:before="20" w:afterLines="20" w:after="48"/>
              <w:jc w:val="right"/>
              <w:rPr>
                <w:sz w:val="16"/>
                <w:szCs w:val="16"/>
              </w:rPr>
            </w:pPr>
            <w:r w:rsidRPr="00AD151D">
              <w:rPr>
                <w:sz w:val="16"/>
                <w:szCs w:val="16"/>
              </w:rPr>
              <w:t>116%</w:t>
            </w:r>
          </w:p>
        </w:tc>
      </w:tr>
      <w:tr w:rsidR="00CB3386" w:rsidRPr="00AD151D" w:rsidTr="00C83B76">
        <w:trPr>
          <w:trHeight w:val="347"/>
        </w:trPr>
        <w:tc>
          <w:tcPr>
            <w:tcW w:w="536" w:type="dxa"/>
            <w:tcBorders>
              <w:top w:val="nil"/>
              <w:left w:val="single" w:sz="4" w:space="0" w:color="auto"/>
              <w:bottom w:val="single" w:sz="4" w:space="0" w:color="auto"/>
              <w:right w:val="single" w:sz="4" w:space="0" w:color="auto"/>
            </w:tcBorders>
            <w:vAlign w:val="bottom"/>
          </w:tcPr>
          <w:p w:rsidR="00CB3386" w:rsidRPr="00AD151D" w:rsidRDefault="00CB3386" w:rsidP="007D0547">
            <w:pPr>
              <w:keepNext/>
              <w:keepLines/>
              <w:spacing w:before="20" w:afterLines="20" w:after="48"/>
              <w:jc w:val="right"/>
              <w:rPr>
                <w:b/>
                <w:sz w:val="16"/>
                <w:szCs w:val="16"/>
              </w:rPr>
            </w:pPr>
            <w:r w:rsidRPr="00AD151D">
              <w:rPr>
                <w:b/>
                <w:sz w:val="16"/>
                <w:szCs w:val="16"/>
              </w:rPr>
              <w:t>Jul</w:t>
            </w:r>
          </w:p>
        </w:tc>
        <w:tc>
          <w:tcPr>
            <w:tcW w:w="819" w:type="dxa"/>
            <w:tcBorders>
              <w:top w:val="nil"/>
              <w:left w:val="nil"/>
              <w:bottom w:val="single" w:sz="4" w:space="0" w:color="auto"/>
              <w:right w:val="single" w:sz="4" w:space="0" w:color="auto"/>
            </w:tcBorders>
            <w:vAlign w:val="bottom"/>
          </w:tcPr>
          <w:p w:rsidR="00CB3386" w:rsidRPr="00AD151D" w:rsidRDefault="00CB3386" w:rsidP="007D0547">
            <w:pPr>
              <w:keepNext/>
              <w:keepLines/>
              <w:spacing w:before="20" w:afterLines="20" w:after="48"/>
              <w:jc w:val="right"/>
              <w:rPr>
                <w:sz w:val="16"/>
                <w:szCs w:val="16"/>
              </w:rPr>
            </w:pPr>
            <w:r w:rsidRPr="00AD151D">
              <w:rPr>
                <w:sz w:val="16"/>
                <w:szCs w:val="16"/>
              </w:rPr>
              <w:t xml:space="preserve">43,527 </w:t>
            </w:r>
          </w:p>
        </w:tc>
        <w:tc>
          <w:tcPr>
            <w:tcW w:w="788" w:type="dxa"/>
            <w:tcBorders>
              <w:top w:val="nil"/>
              <w:left w:val="nil"/>
              <w:bottom w:val="single" w:sz="4" w:space="0" w:color="auto"/>
              <w:right w:val="single" w:sz="4" w:space="0" w:color="auto"/>
            </w:tcBorders>
            <w:noWrap/>
            <w:vAlign w:val="bottom"/>
          </w:tcPr>
          <w:p w:rsidR="00CB3386" w:rsidRPr="00AD151D" w:rsidRDefault="00CB3386" w:rsidP="007D0547">
            <w:pPr>
              <w:keepNext/>
              <w:keepLines/>
              <w:spacing w:before="20" w:afterLines="20" w:after="48"/>
              <w:jc w:val="right"/>
              <w:rPr>
                <w:sz w:val="16"/>
                <w:szCs w:val="16"/>
              </w:rPr>
            </w:pPr>
            <w:r w:rsidRPr="00AD151D">
              <w:rPr>
                <w:sz w:val="16"/>
                <w:szCs w:val="16"/>
              </w:rPr>
              <w:t xml:space="preserve">2,688 </w:t>
            </w:r>
          </w:p>
        </w:tc>
        <w:tc>
          <w:tcPr>
            <w:tcW w:w="990" w:type="dxa"/>
            <w:tcBorders>
              <w:top w:val="nil"/>
              <w:left w:val="nil"/>
              <w:bottom w:val="single" w:sz="4" w:space="0" w:color="auto"/>
              <w:right w:val="single" w:sz="4" w:space="0" w:color="auto"/>
            </w:tcBorders>
            <w:noWrap/>
            <w:vAlign w:val="bottom"/>
          </w:tcPr>
          <w:p w:rsidR="00CB3386" w:rsidRPr="00AD151D" w:rsidRDefault="00CB3386" w:rsidP="007D0547">
            <w:pPr>
              <w:keepNext/>
              <w:keepLines/>
              <w:spacing w:before="20" w:afterLines="20" w:after="48"/>
              <w:jc w:val="right"/>
              <w:rPr>
                <w:sz w:val="16"/>
                <w:szCs w:val="16"/>
              </w:rPr>
            </w:pPr>
            <w:r w:rsidRPr="00AD151D">
              <w:rPr>
                <w:sz w:val="16"/>
                <w:szCs w:val="16"/>
              </w:rPr>
              <w:t xml:space="preserve">        1,084 </w:t>
            </w:r>
          </w:p>
        </w:tc>
        <w:tc>
          <w:tcPr>
            <w:tcW w:w="922" w:type="dxa"/>
            <w:tcBorders>
              <w:top w:val="nil"/>
              <w:left w:val="nil"/>
              <w:bottom w:val="single" w:sz="4" w:space="0" w:color="auto"/>
              <w:right w:val="single" w:sz="4" w:space="0" w:color="auto"/>
            </w:tcBorders>
            <w:shd w:val="clear" w:color="000000" w:fill="D9D9D9"/>
            <w:vAlign w:val="bottom"/>
          </w:tcPr>
          <w:p w:rsidR="00CB3386" w:rsidRPr="00AD151D" w:rsidRDefault="00CB3386" w:rsidP="007D0547">
            <w:pPr>
              <w:keepNext/>
              <w:keepLines/>
              <w:spacing w:before="20" w:afterLines="20" w:after="48"/>
              <w:jc w:val="right"/>
              <w:rPr>
                <w:b/>
                <w:sz w:val="16"/>
                <w:szCs w:val="16"/>
              </w:rPr>
            </w:pPr>
            <w:r w:rsidRPr="00AD151D">
              <w:rPr>
                <w:b/>
                <w:sz w:val="16"/>
                <w:szCs w:val="16"/>
              </w:rPr>
              <w:t>40,839</w:t>
            </w:r>
          </w:p>
        </w:tc>
        <w:tc>
          <w:tcPr>
            <w:tcW w:w="1170" w:type="dxa"/>
            <w:tcBorders>
              <w:top w:val="nil"/>
              <w:left w:val="nil"/>
              <w:bottom w:val="single" w:sz="4" w:space="0" w:color="auto"/>
              <w:right w:val="single" w:sz="4" w:space="0" w:color="auto"/>
            </w:tcBorders>
            <w:shd w:val="clear" w:color="000000" w:fill="D9D9D9"/>
            <w:vAlign w:val="bottom"/>
          </w:tcPr>
          <w:p w:rsidR="00CB3386" w:rsidRPr="00AD151D" w:rsidRDefault="00CB3386" w:rsidP="007D0547">
            <w:pPr>
              <w:keepNext/>
              <w:keepLines/>
              <w:spacing w:before="20" w:afterLines="20" w:after="48"/>
              <w:jc w:val="right"/>
              <w:rPr>
                <w:sz w:val="16"/>
                <w:szCs w:val="16"/>
              </w:rPr>
            </w:pPr>
            <w:r w:rsidRPr="00AD151D">
              <w:rPr>
                <w:sz w:val="16"/>
                <w:szCs w:val="16"/>
              </w:rPr>
              <w:t>45,881</w:t>
            </w:r>
          </w:p>
        </w:tc>
        <w:tc>
          <w:tcPr>
            <w:tcW w:w="878" w:type="dxa"/>
            <w:tcBorders>
              <w:top w:val="nil"/>
              <w:left w:val="nil"/>
              <w:bottom w:val="single" w:sz="4" w:space="0" w:color="auto"/>
              <w:right w:val="single" w:sz="4" w:space="0" w:color="auto"/>
            </w:tcBorders>
            <w:noWrap/>
            <w:vAlign w:val="bottom"/>
          </w:tcPr>
          <w:p w:rsidR="00CB3386" w:rsidRPr="00AD151D" w:rsidRDefault="00CB3386" w:rsidP="007D0547">
            <w:pPr>
              <w:keepNext/>
              <w:keepLines/>
              <w:spacing w:before="20" w:afterLines="20" w:after="48"/>
              <w:jc w:val="right"/>
              <w:rPr>
                <w:sz w:val="16"/>
                <w:szCs w:val="16"/>
              </w:rPr>
            </w:pPr>
            <w:r w:rsidRPr="00AD151D">
              <w:rPr>
                <w:sz w:val="16"/>
                <w:szCs w:val="16"/>
              </w:rPr>
              <w:t>46,886</w:t>
            </w:r>
          </w:p>
        </w:tc>
        <w:tc>
          <w:tcPr>
            <w:tcW w:w="1080" w:type="dxa"/>
            <w:tcBorders>
              <w:top w:val="nil"/>
              <w:left w:val="nil"/>
              <w:bottom w:val="single" w:sz="4" w:space="0" w:color="auto"/>
              <w:right w:val="single" w:sz="4" w:space="0" w:color="auto"/>
            </w:tcBorders>
            <w:shd w:val="clear" w:color="000000" w:fill="D9D9D9"/>
            <w:vAlign w:val="bottom"/>
          </w:tcPr>
          <w:p w:rsidR="00CB3386" w:rsidRPr="00AD151D" w:rsidRDefault="00CB3386" w:rsidP="007D0547">
            <w:pPr>
              <w:keepNext/>
              <w:keepLines/>
              <w:spacing w:before="20" w:afterLines="20" w:after="48"/>
              <w:jc w:val="right"/>
              <w:rPr>
                <w:sz w:val="16"/>
                <w:szCs w:val="16"/>
              </w:rPr>
            </w:pPr>
            <w:r w:rsidRPr="00AD151D">
              <w:rPr>
                <w:sz w:val="16"/>
                <w:szCs w:val="16"/>
              </w:rPr>
              <w:t>102%</w:t>
            </w:r>
          </w:p>
        </w:tc>
        <w:tc>
          <w:tcPr>
            <w:tcW w:w="1260" w:type="dxa"/>
            <w:tcBorders>
              <w:top w:val="nil"/>
              <w:left w:val="nil"/>
              <w:bottom w:val="single" w:sz="4" w:space="0" w:color="auto"/>
              <w:right w:val="single" w:sz="4" w:space="0" w:color="auto"/>
            </w:tcBorders>
            <w:shd w:val="clear" w:color="000000" w:fill="D9D9D9"/>
            <w:vAlign w:val="bottom"/>
          </w:tcPr>
          <w:p w:rsidR="00CB3386" w:rsidRPr="00AD151D" w:rsidRDefault="00CB3386" w:rsidP="007D0547">
            <w:pPr>
              <w:keepNext/>
              <w:keepLines/>
              <w:spacing w:before="20" w:afterLines="20" w:after="48"/>
              <w:jc w:val="right"/>
              <w:rPr>
                <w:sz w:val="16"/>
                <w:szCs w:val="16"/>
              </w:rPr>
            </w:pPr>
            <w:r w:rsidRPr="00AD151D">
              <w:rPr>
                <w:sz w:val="16"/>
                <w:szCs w:val="16"/>
              </w:rPr>
              <w:t>115%</w:t>
            </w:r>
          </w:p>
        </w:tc>
      </w:tr>
      <w:tr w:rsidR="00CB3386" w:rsidRPr="00AD151D" w:rsidTr="00C83B76">
        <w:trPr>
          <w:trHeight w:val="347"/>
        </w:trPr>
        <w:tc>
          <w:tcPr>
            <w:tcW w:w="536" w:type="dxa"/>
            <w:tcBorders>
              <w:top w:val="nil"/>
              <w:left w:val="single" w:sz="4" w:space="0" w:color="auto"/>
              <w:bottom w:val="single" w:sz="4" w:space="0" w:color="auto"/>
              <w:right w:val="single" w:sz="4" w:space="0" w:color="auto"/>
            </w:tcBorders>
            <w:vAlign w:val="bottom"/>
          </w:tcPr>
          <w:p w:rsidR="00CB3386" w:rsidRPr="00AD151D" w:rsidRDefault="00CB3386" w:rsidP="007D0547">
            <w:pPr>
              <w:keepNext/>
              <w:keepLines/>
              <w:spacing w:before="20" w:afterLines="20" w:after="48"/>
              <w:jc w:val="right"/>
              <w:rPr>
                <w:b/>
                <w:sz w:val="16"/>
                <w:szCs w:val="16"/>
              </w:rPr>
            </w:pPr>
            <w:r w:rsidRPr="00AD151D">
              <w:rPr>
                <w:b/>
                <w:sz w:val="16"/>
                <w:szCs w:val="16"/>
              </w:rPr>
              <w:t>Aug</w:t>
            </w:r>
          </w:p>
        </w:tc>
        <w:tc>
          <w:tcPr>
            <w:tcW w:w="819" w:type="dxa"/>
            <w:tcBorders>
              <w:top w:val="nil"/>
              <w:left w:val="nil"/>
              <w:bottom w:val="single" w:sz="4" w:space="0" w:color="auto"/>
              <w:right w:val="single" w:sz="4" w:space="0" w:color="auto"/>
            </w:tcBorders>
            <w:vAlign w:val="bottom"/>
          </w:tcPr>
          <w:p w:rsidR="00CB3386" w:rsidRPr="00AD151D" w:rsidRDefault="00CB3386" w:rsidP="007D0547">
            <w:pPr>
              <w:keepNext/>
              <w:keepLines/>
              <w:spacing w:before="20" w:afterLines="20" w:after="48"/>
              <w:jc w:val="right"/>
              <w:rPr>
                <w:sz w:val="16"/>
                <w:szCs w:val="16"/>
              </w:rPr>
            </w:pPr>
            <w:r w:rsidRPr="00AD151D">
              <w:rPr>
                <w:sz w:val="16"/>
                <w:szCs w:val="16"/>
              </w:rPr>
              <w:t xml:space="preserve">45,141 </w:t>
            </w:r>
          </w:p>
        </w:tc>
        <w:tc>
          <w:tcPr>
            <w:tcW w:w="788" w:type="dxa"/>
            <w:tcBorders>
              <w:top w:val="nil"/>
              <w:left w:val="nil"/>
              <w:bottom w:val="single" w:sz="4" w:space="0" w:color="auto"/>
              <w:right w:val="single" w:sz="4" w:space="0" w:color="auto"/>
            </w:tcBorders>
            <w:noWrap/>
            <w:vAlign w:val="bottom"/>
          </w:tcPr>
          <w:p w:rsidR="00CB3386" w:rsidRPr="00AD151D" w:rsidRDefault="00CB3386" w:rsidP="007D0547">
            <w:pPr>
              <w:keepNext/>
              <w:keepLines/>
              <w:spacing w:before="20" w:afterLines="20" w:after="48"/>
              <w:jc w:val="right"/>
              <w:rPr>
                <w:sz w:val="16"/>
                <w:szCs w:val="16"/>
              </w:rPr>
            </w:pPr>
            <w:r w:rsidRPr="00AD151D">
              <w:rPr>
                <w:sz w:val="16"/>
                <w:szCs w:val="16"/>
              </w:rPr>
              <w:t xml:space="preserve">2,580 </w:t>
            </w:r>
          </w:p>
        </w:tc>
        <w:tc>
          <w:tcPr>
            <w:tcW w:w="990" w:type="dxa"/>
            <w:tcBorders>
              <w:top w:val="nil"/>
              <w:left w:val="nil"/>
              <w:bottom w:val="single" w:sz="4" w:space="0" w:color="auto"/>
              <w:right w:val="single" w:sz="4" w:space="0" w:color="auto"/>
            </w:tcBorders>
            <w:noWrap/>
            <w:vAlign w:val="bottom"/>
          </w:tcPr>
          <w:p w:rsidR="00CB3386" w:rsidRPr="00AD151D" w:rsidRDefault="00CB3386" w:rsidP="007D0547">
            <w:pPr>
              <w:keepNext/>
              <w:keepLines/>
              <w:spacing w:before="20" w:afterLines="20" w:after="48"/>
              <w:jc w:val="right"/>
              <w:rPr>
                <w:sz w:val="16"/>
                <w:szCs w:val="16"/>
              </w:rPr>
            </w:pPr>
            <w:r w:rsidRPr="00AD151D">
              <w:rPr>
                <w:sz w:val="16"/>
                <w:szCs w:val="16"/>
              </w:rPr>
              <w:t xml:space="preserve">        1,084 </w:t>
            </w:r>
          </w:p>
        </w:tc>
        <w:tc>
          <w:tcPr>
            <w:tcW w:w="922" w:type="dxa"/>
            <w:tcBorders>
              <w:top w:val="nil"/>
              <w:left w:val="nil"/>
              <w:bottom w:val="single" w:sz="4" w:space="0" w:color="auto"/>
              <w:right w:val="single" w:sz="4" w:space="0" w:color="auto"/>
            </w:tcBorders>
            <w:shd w:val="clear" w:color="000000" w:fill="D9D9D9"/>
            <w:vAlign w:val="bottom"/>
          </w:tcPr>
          <w:p w:rsidR="00CB3386" w:rsidRPr="00AD151D" w:rsidRDefault="00CB3386" w:rsidP="007D0547">
            <w:pPr>
              <w:keepNext/>
              <w:keepLines/>
              <w:spacing w:before="20" w:afterLines="20" w:after="48"/>
              <w:jc w:val="right"/>
              <w:rPr>
                <w:b/>
                <w:sz w:val="16"/>
                <w:szCs w:val="16"/>
              </w:rPr>
            </w:pPr>
            <w:r w:rsidRPr="00AD151D">
              <w:rPr>
                <w:b/>
                <w:sz w:val="16"/>
                <w:szCs w:val="16"/>
              </w:rPr>
              <w:t>42,561</w:t>
            </w:r>
          </w:p>
        </w:tc>
        <w:tc>
          <w:tcPr>
            <w:tcW w:w="1170" w:type="dxa"/>
            <w:tcBorders>
              <w:top w:val="nil"/>
              <w:left w:val="nil"/>
              <w:bottom w:val="single" w:sz="4" w:space="0" w:color="auto"/>
              <w:right w:val="single" w:sz="4" w:space="0" w:color="auto"/>
            </w:tcBorders>
            <w:shd w:val="clear" w:color="000000" w:fill="D9D9D9"/>
            <w:vAlign w:val="bottom"/>
          </w:tcPr>
          <w:p w:rsidR="00CB3386" w:rsidRPr="00AD151D" w:rsidRDefault="00CB3386" w:rsidP="007D0547">
            <w:pPr>
              <w:keepNext/>
              <w:keepLines/>
              <w:spacing w:before="20" w:afterLines="20" w:after="48"/>
              <w:jc w:val="right"/>
              <w:rPr>
                <w:sz w:val="16"/>
                <w:szCs w:val="16"/>
              </w:rPr>
            </w:pPr>
            <w:r w:rsidRPr="00AD151D">
              <w:rPr>
                <w:sz w:val="16"/>
                <w:szCs w:val="16"/>
              </w:rPr>
              <w:t>47,861</w:t>
            </w:r>
          </w:p>
        </w:tc>
        <w:tc>
          <w:tcPr>
            <w:tcW w:w="878" w:type="dxa"/>
            <w:tcBorders>
              <w:top w:val="nil"/>
              <w:left w:val="nil"/>
              <w:bottom w:val="single" w:sz="4" w:space="0" w:color="auto"/>
              <w:right w:val="single" w:sz="4" w:space="0" w:color="auto"/>
            </w:tcBorders>
            <w:noWrap/>
            <w:vAlign w:val="bottom"/>
          </w:tcPr>
          <w:p w:rsidR="00CB3386" w:rsidRPr="00AD151D" w:rsidRDefault="00CB3386" w:rsidP="007D0547">
            <w:pPr>
              <w:keepNext/>
              <w:keepLines/>
              <w:spacing w:before="20" w:afterLines="20" w:after="48"/>
              <w:jc w:val="right"/>
              <w:rPr>
                <w:sz w:val="16"/>
                <w:szCs w:val="16"/>
              </w:rPr>
            </w:pPr>
            <w:r w:rsidRPr="00AD151D">
              <w:rPr>
                <w:sz w:val="16"/>
                <w:szCs w:val="16"/>
              </w:rPr>
              <w:t>48,461</w:t>
            </w:r>
          </w:p>
        </w:tc>
        <w:tc>
          <w:tcPr>
            <w:tcW w:w="1080" w:type="dxa"/>
            <w:tcBorders>
              <w:top w:val="nil"/>
              <w:left w:val="nil"/>
              <w:bottom w:val="single" w:sz="4" w:space="0" w:color="auto"/>
              <w:right w:val="single" w:sz="4" w:space="0" w:color="auto"/>
            </w:tcBorders>
            <w:shd w:val="clear" w:color="000000" w:fill="D9D9D9"/>
            <w:vAlign w:val="bottom"/>
          </w:tcPr>
          <w:p w:rsidR="00CB3386" w:rsidRPr="00AD151D" w:rsidRDefault="00CB3386" w:rsidP="007D0547">
            <w:pPr>
              <w:keepNext/>
              <w:keepLines/>
              <w:spacing w:before="20" w:afterLines="20" w:after="48"/>
              <w:jc w:val="right"/>
              <w:rPr>
                <w:sz w:val="16"/>
                <w:szCs w:val="16"/>
              </w:rPr>
            </w:pPr>
            <w:r w:rsidRPr="00AD151D">
              <w:rPr>
                <w:sz w:val="16"/>
                <w:szCs w:val="16"/>
              </w:rPr>
              <w:t>101%</w:t>
            </w:r>
          </w:p>
        </w:tc>
        <w:tc>
          <w:tcPr>
            <w:tcW w:w="1260" w:type="dxa"/>
            <w:tcBorders>
              <w:top w:val="nil"/>
              <w:left w:val="nil"/>
              <w:bottom w:val="single" w:sz="4" w:space="0" w:color="auto"/>
              <w:right w:val="single" w:sz="4" w:space="0" w:color="auto"/>
            </w:tcBorders>
            <w:shd w:val="clear" w:color="000000" w:fill="D9D9D9"/>
            <w:vAlign w:val="bottom"/>
          </w:tcPr>
          <w:p w:rsidR="00CB3386" w:rsidRPr="00AD151D" w:rsidRDefault="00CB3386" w:rsidP="007D0547">
            <w:pPr>
              <w:keepNext/>
              <w:keepLines/>
              <w:spacing w:before="20" w:afterLines="20" w:after="48"/>
              <w:jc w:val="right"/>
              <w:rPr>
                <w:sz w:val="16"/>
                <w:szCs w:val="16"/>
              </w:rPr>
            </w:pPr>
            <w:r w:rsidRPr="00AD151D">
              <w:rPr>
                <w:sz w:val="16"/>
                <w:szCs w:val="16"/>
              </w:rPr>
              <w:t>114%</w:t>
            </w:r>
          </w:p>
        </w:tc>
      </w:tr>
      <w:tr w:rsidR="00CB3386" w:rsidRPr="00AD151D" w:rsidTr="00C83B76">
        <w:trPr>
          <w:trHeight w:val="278"/>
        </w:trPr>
        <w:tc>
          <w:tcPr>
            <w:tcW w:w="536" w:type="dxa"/>
            <w:tcBorders>
              <w:top w:val="nil"/>
              <w:left w:val="single" w:sz="4" w:space="0" w:color="auto"/>
              <w:bottom w:val="single" w:sz="4" w:space="0" w:color="auto"/>
              <w:right w:val="single" w:sz="4" w:space="0" w:color="auto"/>
            </w:tcBorders>
            <w:vAlign w:val="bottom"/>
          </w:tcPr>
          <w:p w:rsidR="00CB3386" w:rsidRPr="00AD151D" w:rsidRDefault="00CB3386" w:rsidP="007D0547">
            <w:pPr>
              <w:keepNext/>
              <w:keepLines/>
              <w:spacing w:before="20" w:afterLines="20" w:after="48"/>
              <w:jc w:val="right"/>
              <w:rPr>
                <w:b/>
                <w:sz w:val="16"/>
                <w:szCs w:val="16"/>
              </w:rPr>
            </w:pPr>
            <w:r w:rsidRPr="00AD151D">
              <w:rPr>
                <w:b/>
                <w:sz w:val="16"/>
                <w:szCs w:val="16"/>
              </w:rPr>
              <w:t>Sep</w:t>
            </w:r>
          </w:p>
        </w:tc>
        <w:tc>
          <w:tcPr>
            <w:tcW w:w="819" w:type="dxa"/>
            <w:tcBorders>
              <w:top w:val="nil"/>
              <w:left w:val="nil"/>
              <w:bottom w:val="single" w:sz="4" w:space="0" w:color="auto"/>
              <w:right w:val="single" w:sz="4" w:space="0" w:color="auto"/>
            </w:tcBorders>
            <w:vAlign w:val="bottom"/>
          </w:tcPr>
          <w:p w:rsidR="00CB3386" w:rsidRPr="00AD151D" w:rsidRDefault="00CB3386" w:rsidP="007D0547">
            <w:pPr>
              <w:keepNext/>
              <w:keepLines/>
              <w:spacing w:before="20" w:afterLines="20" w:after="48"/>
              <w:jc w:val="right"/>
              <w:rPr>
                <w:sz w:val="16"/>
                <w:szCs w:val="16"/>
              </w:rPr>
            </w:pPr>
            <w:r w:rsidRPr="00AD151D">
              <w:rPr>
                <w:sz w:val="16"/>
                <w:szCs w:val="16"/>
              </w:rPr>
              <w:t xml:space="preserve">41,620 </w:t>
            </w:r>
          </w:p>
        </w:tc>
        <w:tc>
          <w:tcPr>
            <w:tcW w:w="788" w:type="dxa"/>
            <w:tcBorders>
              <w:top w:val="nil"/>
              <w:left w:val="nil"/>
              <w:bottom w:val="single" w:sz="4" w:space="0" w:color="auto"/>
              <w:right w:val="single" w:sz="4" w:space="0" w:color="auto"/>
            </w:tcBorders>
            <w:noWrap/>
            <w:vAlign w:val="bottom"/>
          </w:tcPr>
          <w:p w:rsidR="00CB3386" w:rsidRPr="00AD151D" w:rsidRDefault="00CB3386" w:rsidP="007D0547">
            <w:pPr>
              <w:keepNext/>
              <w:keepLines/>
              <w:spacing w:before="20" w:afterLines="20" w:after="48"/>
              <w:jc w:val="right"/>
              <w:rPr>
                <w:sz w:val="16"/>
                <w:szCs w:val="16"/>
              </w:rPr>
            </w:pPr>
            <w:r w:rsidRPr="00AD151D">
              <w:rPr>
                <w:sz w:val="16"/>
                <w:szCs w:val="16"/>
              </w:rPr>
              <w:t xml:space="preserve">2,619 </w:t>
            </w:r>
          </w:p>
        </w:tc>
        <w:tc>
          <w:tcPr>
            <w:tcW w:w="990" w:type="dxa"/>
            <w:tcBorders>
              <w:top w:val="nil"/>
              <w:left w:val="nil"/>
              <w:bottom w:val="single" w:sz="4" w:space="0" w:color="auto"/>
              <w:right w:val="single" w:sz="4" w:space="0" w:color="auto"/>
            </w:tcBorders>
            <w:noWrap/>
            <w:vAlign w:val="bottom"/>
          </w:tcPr>
          <w:p w:rsidR="00CB3386" w:rsidRPr="00AD151D" w:rsidRDefault="00CB3386" w:rsidP="007D0547">
            <w:pPr>
              <w:keepNext/>
              <w:keepLines/>
              <w:spacing w:before="20" w:afterLines="20" w:after="48"/>
              <w:jc w:val="right"/>
              <w:rPr>
                <w:sz w:val="16"/>
                <w:szCs w:val="16"/>
              </w:rPr>
            </w:pPr>
            <w:r w:rsidRPr="00AD151D">
              <w:rPr>
                <w:sz w:val="16"/>
                <w:szCs w:val="16"/>
              </w:rPr>
              <w:t xml:space="preserve">        1,084 </w:t>
            </w:r>
          </w:p>
        </w:tc>
        <w:tc>
          <w:tcPr>
            <w:tcW w:w="922" w:type="dxa"/>
            <w:tcBorders>
              <w:top w:val="nil"/>
              <w:left w:val="nil"/>
              <w:bottom w:val="single" w:sz="4" w:space="0" w:color="auto"/>
              <w:right w:val="single" w:sz="4" w:space="0" w:color="auto"/>
            </w:tcBorders>
            <w:shd w:val="clear" w:color="000000" w:fill="D9D9D9"/>
            <w:vAlign w:val="bottom"/>
          </w:tcPr>
          <w:p w:rsidR="00CB3386" w:rsidRPr="00AD151D" w:rsidRDefault="00CB3386" w:rsidP="007D0547">
            <w:pPr>
              <w:keepNext/>
              <w:keepLines/>
              <w:spacing w:before="20" w:afterLines="20" w:after="48"/>
              <w:jc w:val="right"/>
              <w:rPr>
                <w:b/>
                <w:sz w:val="16"/>
                <w:szCs w:val="16"/>
              </w:rPr>
            </w:pPr>
            <w:r w:rsidRPr="00AD151D">
              <w:rPr>
                <w:b/>
                <w:sz w:val="16"/>
                <w:szCs w:val="16"/>
              </w:rPr>
              <w:t>39,001</w:t>
            </w:r>
          </w:p>
        </w:tc>
        <w:tc>
          <w:tcPr>
            <w:tcW w:w="1170" w:type="dxa"/>
            <w:tcBorders>
              <w:top w:val="nil"/>
              <w:left w:val="nil"/>
              <w:bottom w:val="single" w:sz="4" w:space="0" w:color="auto"/>
              <w:right w:val="single" w:sz="4" w:space="0" w:color="auto"/>
            </w:tcBorders>
            <w:shd w:val="clear" w:color="000000" w:fill="D9D9D9"/>
            <w:vAlign w:val="bottom"/>
          </w:tcPr>
          <w:p w:rsidR="00CB3386" w:rsidRPr="00AD151D" w:rsidRDefault="00CB3386" w:rsidP="007D0547">
            <w:pPr>
              <w:keepNext/>
              <w:keepLines/>
              <w:spacing w:before="20" w:afterLines="20" w:after="48"/>
              <w:jc w:val="right"/>
              <w:rPr>
                <w:sz w:val="16"/>
                <w:szCs w:val="16"/>
              </w:rPr>
            </w:pPr>
            <w:r w:rsidRPr="00AD151D">
              <w:rPr>
                <w:sz w:val="16"/>
                <w:szCs w:val="16"/>
              </w:rPr>
              <w:t>43,767</w:t>
            </w:r>
          </w:p>
        </w:tc>
        <w:tc>
          <w:tcPr>
            <w:tcW w:w="878" w:type="dxa"/>
            <w:tcBorders>
              <w:top w:val="nil"/>
              <w:left w:val="nil"/>
              <w:bottom w:val="single" w:sz="4" w:space="0" w:color="auto"/>
              <w:right w:val="single" w:sz="4" w:space="0" w:color="auto"/>
            </w:tcBorders>
            <w:noWrap/>
            <w:vAlign w:val="bottom"/>
          </w:tcPr>
          <w:p w:rsidR="00CB3386" w:rsidRPr="00AD151D" w:rsidRDefault="00CB3386" w:rsidP="007D0547">
            <w:pPr>
              <w:keepNext/>
              <w:keepLines/>
              <w:spacing w:before="20" w:afterLines="20" w:after="48"/>
              <w:jc w:val="right"/>
              <w:rPr>
                <w:sz w:val="16"/>
                <w:szCs w:val="16"/>
              </w:rPr>
            </w:pPr>
            <w:r w:rsidRPr="00AD151D">
              <w:rPr>
                <w:sz w:val="16"/>
                <w:szCs w:val="16"/>
              </w:rPr>
              <w:t>44,787</w:t>
            </w:r>
          </w:p>
        </w:tc>
        <w:tc>
          <w:tcPr>
            <w:tcW w:w="1080" w:type="dxa"/>
            <w:tcBorders>
              <w:top w:val="nil"/>
              <w:left w:val="nil"/>
              <w:bottom w:val="single" w:sz="4" w:space="0" w:color="auto"/>
              <w:right w:val="single" w:sz="4" w:space="0" w:color="auto"/>
            </w:tcBorders>
            <w:shd w:val="clear" w:color="000000" w:fill="D9D9D9"/>
            <w:vAlign w:val="bottom"/>
          </w:tcPr>
          <w:p w:rsidR="00CB3386" w:rsidRPr="00AD151D" w:rsidRDefault="00CB3386" w:rsidP="007D0547">
            <w:pPr>
              <w:keepNext/>
              <w:keepLines/>
              <w:spacing w:before="20" w:afterLines="20" w:after="48"/>
              <w:jc w:val="right"/>
              <w:rPr>
                <w:sz w:val="16"/>
                <w:szCs w:val="16"/>
              </w:rPr>
            </w:pPr>
            <w:r w:rsidRPr="00AD151D">
              <w:rPr>
                <w:sz w:val="16"/>
                <w:szCs w:val="16"/>
              </w:rPr>
              <w:t>102%</w:t>
            </w:r>
          </w:p>
        </w:tc>
        <w:tc>
          <w:tcPr>
            <w:tcW w:w="1260" w:type="dxa"/>
            <w:tcBorders>
              <w:top w:val="nil"/>
              <w:left w:val="nil"/>
              <w:bottom w:val="single" w:sz="4" w:space="0" w:color="auto"/>
              <w:right w:val="single" w:sz="4" w:space="0" w:color="auto"/>
            </w:tcBorders>
            <w:shd w:val="clear" w:color="000000" w:fill="D9D9D9"/>
            <w:vAlign w:val="bottom"/>
          </w:tcPr>
          <w:p w:rsidR="00CB3386" w:rsidRPr="00AD151D" w:rsidRDefault="00CB3386" w:rsidP="007D0547">
            <w:pPr>
              <w:keepNext/>
              <w:keepLines/>
              <w:spacing w:before="20" w:afterLines="20" w:after="48"/>
              <w:jc w:val="right"/>
              <w:rPr>
                <w:sz w:val="16"/>
                <w:szCs w:val="16"/>
              </w:rPr>
            </w:pPr>
            <w:r w:rsidRPr="00AD151D">
              <w:rPr>
                <w:sz w:val="16"/>
                <w:szCs w:val="16"/>
              </w:rPr>
              <w:t>115%</w:t>
            </w:r>
          </w:p>
        </w:tc>
      </w:tr>
      <w:tr w:rsidR="00CB3386" w:rsidRPr="00AD151D" w:rsidTr="00C83B76">
        <w:trPr>
          <w:trHeight w:val="269"/>
        </w:trPr>
        <w:tc>
          <w:tcPr>
            <w:tcW w:w="536" w:type="dxa"/>
            <w:tcBorders>
              <w:top w:val="nil"/>
              <w:left w:val="single" w:sz="4" w:space="0" w:color="auto"/>
              <w:bottom w:val="single" w:sz="4" w:space="0" w:color="auto"/>
              <w:right w:val="single" w:sz="4" w:space="0" w:color="auto"/>
            </w:tcBorders>
            <w:vAlign w:val="bottom"/>
          </w:tcPr>
          <w:p w:rsidR="00CB3386" w:rsidRPr="00AD151D" w:rsidRDefault="00CB3386" w:rsidP="007D0547">
            <w:pPr>
              <w:keepNext/>
              <w:keepLines/>
              <w:spacing w:before="20" w:afterLines="20" w:after="48"/>
              <w:jc w:val="right"/>
              <w:rPr>
                <w:b/>
                <w:sz w:val="16"/>
                <w:szCs w:val="16"/>
              </w:rPr>
            </w:pPr>
            <w:r w:rsidRPr="00AD151D">
              <w:rPr>
                <w:b/>
                <w:sz w:val="16"/>
                <w:szCs w:val="16"/>
              </w:rPr>
              <w:t>Oct</w:t>
            </w:r>
          </w:p>
        </w:tc>
        <w:tc>
          <w:tcPr>
            <w:tcW w:w="819" w:type="dxa"/>
            <w:tcBorders>
              <w:top w:val="nil"/>
              <w:left w:val="nil"/>
              <w:bottom w:val="single" w:sz="4" w:space="0" w:color="auto"/>
              <w:right w:val="single" w:sz="4" w:space="0" w:color="auto"/>
            </w:tcBorders>
            <w:vAlign w:val="bottom"/>
          </w:tcPr>
          <w:p w:rsidR="00CB3386" w:rsidRPr="00AD151D" w:rsidRDefault="00CB3386" w:rsidP="007D0547">
            <w:pPr>
              <w:keepNext/>
              <w:keepLines/>
              <w:spacing w:before="20" w:afterLines="20" w:after="48"/>
              <w:jc w:val="right"/>
              <w:rPr>
                <w:sz w:val="16"/>
                <w:szCs w:val="16"/>
              </w:rPr>
            </w:pPr>
            <w:r w:rsidRPr="00AD151D">
              <w:rPr>
                <w:sz w:val="16"/>
                <w:szCs w:val="16"/>
              </w:rPr>
              <w:t xml:space="preserve">33,764 </w:t>
            </w:r>
          </w:p>
        </w:tc>
        <w:tc>
          <w:tcPr>
            <w:tcW w:w="788" w:type="dxa"/>
            <w:tcBorders>
              <w:top w:val="nil"/>
              <w:left w:val="nil"/>
              <w:bottom w:val="single" w:sz="4" w:space="0" w:color="auto"/>
              <w:right w:val="single" w:sz="4" w:space="0" w:color="auto"/>
            </w:tcBorders>
            <w:noWrap/>
            <w:vAlign w:val="bottom"/>
          </w:tcPr>
          <w:p w:rsidR="00CB3386" w:rsidRPr="00AD151D" w:rsidRDefault="00CB3386" w:rsidP="007D0547">
            <w:pPr>
              <w:keepNext/>
              <w:keepLines/>
              <w:spacing w:before="20" w:afterLines="20" w:after="48"/>
              <w:jc w:val="right"/>
              <w:rPr>
                <w:sz w:val="16"/>
                <w:szCs w:val="16"/>
              </w:rPr>
            </w:pPr>
            <w:r w:rsidRPr="00AD151D">
              <w:rPr>
                <w:sz w:val="16"/>
                <w:szCs w:val="16"/>
              </w:rPr>
              <w:t xml:space="preserve">1,738 </w:t>
            </w:r>
          </w:p>
        </w:tc>
        <w:tc>
          <w:tcPr>
            <w:tcW w:w="990" w:type="dxa"/>
            <w:tcBorders>
              <w:top w:val="nil"/>
              <w:left w:val="nil"/>
              <w:bottom w:val="single" w:sz="4" w:space="0" w:color="auto"/>
              <w:right w:val="single" w:sz="4" w:space="0" w:color="auto"/>
            </w:tcBorders>
            <w:noWrap/>
            <w:vAlign w:val="bottom"/>
          </w:tcPr>
          <w:p w:rsidR="00CB3386" w:rsidRPr="00AD151D" w:rsidRDefault="00CB3386" w:rsidP="007D0547">
            <w:pPr>
              <w:keepNext/>
              <w:keepLines/>
              <w:spacing w:before="20" w:afterLines="20" w:after="48"/>
              <w:jc w:val="right"/>
              <w:rPr>
                <w:sz w:val="16"/>
                <w:szCs w:val="16"/>
              </w:rPr>
            </w:pPr>
            <w:r w:rsidRPr="00AD151D">
              <w:rPr>
                <w:sz w:val="16"/>
                <w:szCs w:val="16"/>
              </w:rPr>
              <w:t xml:space="preserve">        1,084 </w:t>
            </w:r>
          </w:p>
        </w:tc>
        <w:tc>
          <w:tcPr>
            <w:tcW w:w="922" w:type="dxa"/>
            <w:tcBorders>
              <w:top w:val="nil"/>
              <w:left w:val="nil"/>
              <w:bottom w:val="single" w:sz="4" w:space="0" w:color="auto"/>
              <w:right w:val="single" w:sz="4" w:space="0" w:color="auto"/>
            </w:tcBorders>
            <w:shd w:val="clear" w:color="000000" w:fill="D9D9D9"/>
            <w:vAlign w:val="bottom"/>
          </w:tcPr>
          <w:p w:rsidR="00CB3386" w:rsidRPr="00AD151D" w:rsidRDefault="00CB3386" w:rsidP="007D0547">
            <w:pPr>
              <w:keepNext/>
              <w:keepLines/>
              <w:spacing w:before="20" w:afterLines="20" w:after="48"/>
              <w:jc w:val="right"/>
              <w:rPr>
                <w:b/>
                <w:sz w:val="16"/>
                <w:szCs w:val="16"/>
              </w:rPr>
            </w:pPr>
            <w:r w:rsidRPr="00AD151D">
              <w:rPr>
                <w:b/>
                <w:sz w:val="16"/>
                <w:szCs w:val="16"/>
              </w:rPr>
              <w:t>32,027</w:t>
            </w:r>
          </w:p>
        </w:tc>
        <w:tc>
          <w:tcPr>
            <w:tcW w:w="1170" w:type="dxa"/>
            <w:tcBorders>
              <w:top w:val="nil"/>
              <w:left w:val="nil"/>
              <w:bottom w:val="single" w:sz="4" w:space="0" w:color="auto"/>
              <w:right w:val="single" w:sz="4" w:space="0" w:color="auto"/>
            </w:tcBorders>
            <w:shd w:val="clear" w:color="000000" w:fill="D9D9D9"/>
            <w:vAlign w:val="bottom"/>
          </w:tcPr>
          <w:p w:rsidR="00CB3386" w:rsidRPr="00AD151D" w:rsidRDefault="00CB3386" w:rsidP="007D0547">
            <w:pPr>
              <w:keepNext/>
              <w:keepLines/>
              <w:spacing w:before="20" w:afterLines="20" w:after="48"/>
              <w:jc w:val="right"/>
              <w:rPr>
                <w:sz w:val="16"/>
                <w:szCs w:val="16"/>
              </w:rPr>
            </w:pPr>
            <w:r w:rsidRPr="00AD151D">
              <w:rPr>
                <w:sz w:val="16"/>
                <w:szCs w:val="16"/>
              </w:rPr>
              <w:t>35,746</w:t>
            </w:r>
          </w:p>
        </w:tc>
        <w:tc>
          <w:tcPr>
            <w:tcW w:w="878" w:type="dxa"/>
            <w:tcBorders>
              <w:top w:val="nil"/>
              <w:left w:val="nil"/>
              <w:bottom w:val="single" w:sz="4" w:space="0" w:color="auto"/>
              <w:right w:val="single" w:sz="4" w:space="0" w:color="auto"/>
            </w:tcBorders>
            <w:noWrap/>
            <w:vAlign w:val="bottom"/>
          </w:tcPr>
          <w:p w:rsidR="00CB3386" w:rsidRPr="00AD151D" w:rsidRDefault="00CB3386" w:rsidP="007D0547">
            <w:pPr>
              <w:keepNext/>
              <w:keepLines/>
              <w:spacing w:before="20" w:afterLines="20" w:after="48"/>
              <w:jc w:val="right"/>
              <w:rPr>
                <w:sz w:val="16"/>
                <w:szCs w:val="16"/>
              </w:rPr>
            </w:pPr>
            <w:r w:rsidRPr="00AD151D">
              <w:rPr>
                <w:sz w:val="16"/>
                <w:szCs w:val="16"/>
              </w:rPr>
              <w:t>37,154</w:t>
            </w:r>
          </w:p>
        </w:tc>
        <w:tc>
          <w:tcPr>
            <w:tcW w:w="1080" w:type="dxa"/>
            <w:tcBorders>
              <w:top w:val="nil"/>
              <w:left w:val="nil"/>
              <w:bottom w:val="single" w:sz="4" w:space="0" w:color="auto"/>
              <w:right w:val="single" w:sz="4" w:space="0" w:color="auto"/>
            </w:tcBorders>
            <w:shd w:val="clear" w:color="000000" w:fill="D9D9D9"/>
            <w:vAlign w:val="bottom"/>
          </w:tcPr>
          <w:p w:rsidR="00CB3386" w:rsidRPr="00AD151D" w:rsidRDefault="00CB3386" w:rsidP="007D0547">
            <w:pPr>
              <w:keepNext/>
              <w:keepLines/>
              <w:spacing w:before="20" w:afterLines="20" w:after="48"/>
              <w:jc w:val="right"/>
              <w:rPr>
                <w:sz w:val="16"/>
                <w:szCs w:val="16"/>
              </w:rPr>
            </w:pPr>
            <w:r w:rsidRPr="00AD151D">
              <w:rPr>
                <w:sz w:val="16"/>
                <w:szCs w:val="16"/>
              </w:rPr>
              <w:t>104%</w:t>
            </w:r>
          </w:p>
        </w:tc>
        <w:tc>
          <w:tcPr>
            <w:tcW w:w="1260" w:type="dxa"/>
            <w:tcBorders>
              <w:top w:val="nil"/>
              <w:left w:val="nil"/>
              <w:bottom w:val="single" w:sz="4" w:space="0" w:color="auto"/>
              <w:right w:val="single" w:sz="4" w:space="0" w:color="auto"/>
            </w:tcBorders>
            <w:shd w:val="clear" w:color="000000" w:fill="D9D9D9"/>
            <w:vAlign w:val="bottom"/>
          </w:tcPr>
          <w:p w:rsidR="00CB3386" w:rsidRPr="00AD151D" w:rsidRDefault="00CB3386" w:rsidP="007D0547">
            <w:pPr>
              <w:keepNext/>
              <w:keepLines/>
              <w:spacing w:before="20" w:afterLines="20" w:after="48"/>
              <w:jc w:val="right"/>
              <w:rPr>
                <w:sz w:val="16"/>
                <w:szCs w:val="16"/>
              </w:rPr>
            </w:pPr>
            <w:r w:rsidRPr="00AD151D">
              <w:rPr>
                <w:sz w:val="16"/>
                <w:szCs w:val="16"/>
              </w:rPr>
              <w:t>116%</w:t>
            </w:r>
          </w:p>
        </w:tc>
      </w:tr>
      <w:tr w:rsidR="00CB3386" w:rsidRPr="00AD151D" w:rsidTr="00C83B76">
        <w:trPr>
          <w:trHeight w:val="278"/>
        </w:trPr>
        <w:tc>
          <w:tcPr>
            <w:tcW w:w="536" w:type="dxa"/>
            <w:tcBorders>
              <w:top w:val="nil"/>
              <w:left w:val="single" w:sz="4" w:space="0" w:color="auto"/>
              <w:bottom w:val="single" w:sz="4" w:space="0" w:color="auto"/>
              <w:right w:val="single" w:sz="4" w:space="0" w:color="auto"/>
            </w:tcBorders>
            <w:vAlign w:val="bottom"/>
          </w:tcPr>
          <w:p w:rsidR="00CB3386" w:rsidRPr="00AD151D" w:rsidRDefault="00CB3386" w:rsidP="007D0547">
            <w:pPr>
              <w:keepNext/>
              <w:keepLines/>
              <w:spacing w:before="20" w:afterLines="20" w:after="48"/>
              <w:jc w:val="right"/>
              <w:rPr>
                <w:b/>
                <w:sz w:val="16"/>
                <w:szCs w:val="16"/>
              </w:rPr>
            </w:pPr>
            <w:r w:rsidRPr="00AD151D">
              <w:rPr>
                <w:b/>
                <w:sz w:val="16"/>
                <w:szCs w:val="16"/>
              </w:rPr>
              <w:t>Nov</w:t>
            </w:r>
          </w:p>
        </w:tc>
        <w:tc>
          <w:tcPr>
            <w:tcW w:w="819" w:type="dxa"/>
            <w:tcBorders>
              <w:top w:val="nil"/>
              <w:left w:val="nil"/>
              <w:bottom w:val="single" w:sz="4" w:space="0" w:color="auto"/>
              <w:right w:val="single" w:sz="4" w:space="0" w:color="auto"/>
            </w:tcBorders>
            <w:vAlign w:val="bottom"/>
          </w:tcPr>
          <w:p w:rsidR="00CB3386" w:rsidRPr="00AD151D" w:rsidRDefault="00CB3386" w:rsidP="007D0547">
            <w:pPr>
              <w:keepNext/>
              <w:keepLines/>
              <w:spacing w:before="20" w:afterLines="20" w:after="48"/>
              <w:jc w:val="right"/>
              <w:rPr>
                <w:sz w:val="16"/>
                <w:szCs w:val="16"/>
              </w:rPr>
            </w:pPr>
            <w:r w:rsidRPr="00AD151D">
              <w:rPr>
                <w:sz w:val="16"/>
                <w:szCs w:val="16"/>
              </w:rPr>
              <w:t xml:space="preserve">29,474 </w:t>
            </w:r>
          </w:p>
        </w:tc>
        <w:tc>
          <w:tcPr>
            <w:tcW w:w="788" w:type="dxa"/>
            <w:tcBorders>
              <w:top w:val="nil"/>
              <w:left w:val="nil"/>
              <w:bottom w:val="single" w:sz="4" w:space="0" w:color="auto"/>
              <w:right w:val="single" w:sz="4" w:space="0" w:color="auto"/>
            </w:tcBorders>
            <w:noWrap/>
            <w:vAlign w:val="bottom"/>
          </w:tcPr>
          <w:p w:rsidR="00CB3386" w:rsidRPr="00AD151D" w:rsidRDefault="00CB3386" w:rsidP="007D0547">
            <w:pPr>
              <w:keepNext/>
              <w:keepLines/>
              <w:spacing w:before="20" w:afterLines="20" w:after="48"/>
              <w:jc w:val="right"/>
              <w:rPr>
                <w:sz w:val="16"/>
                <w:szCs w:val="16"/>
              </w:rPr>
            </w:pPr>
            <w:r w:rsidRPr="00AD151D">
              <w:rPr>
                <w:sz w:val="16"/>
                <w:szCs w:val="16"/>
              </w:rPr>
              <w:t xml:space="preserve">1,347 </w:t>
            </w:r>
          </w:p>
        </w:tc>
        <w:tc>
          <w:tcPr>
            <w:tcW w:w="990" w:type="dxa"/>
            <w:tcBorders>
              <w:top w:val="nil"/>
              <w:left w:val="nil"/>
              <w:bottom w:val="single" w:sz="4" w:space="0" w:color="auto"/>
              <w:right w:val="single" w:sz="4" w:space="0" w:color="auto"/>
            </w:tcBorders>
            <w:noWrap/>
            <w:vAlign w:val="bottom"/>
          </w:tcPr>
          <w:p w:rsidR="00CB3386" w:rsidRPr="00AD151D" w:rsidRDefault="00CB3386" w:rsidP="007D0547">
            <w:pPr>
              <w:keepNext/>
              <w:keepLines/>
              <w:spacing w:before="20" w:afterLines="20" w:after="48"/>
              <w:jc w:val="right"/>
              <w:rPr>
                <w:sz w:val="16"/>
                <w:szCs w:val="16"/>
              </w:rPr>
            </w:pPr>
            <w:r w:rsidRPr="00AD151D">
              <w:rPr>
                <w:sz w:val="16"/>
                <w:szCs w:val="16"/>
              </w:rPr>
              <w:t xml:space="preserve">        1,084 </w:t>
            </w:r>
          </w:p>
        </w:tc>
        <w:tc>
          <w:tcPr>
            <w:tcW w:w="922" w:type="dxa"/>
            <w:tcBorders>
              <w:top w:val="nil"/>
              <w:left w:val="nil"/>
              <w:bottom w:val="single" w:sz="4" w:space="0" w:color="auto"/>
              <w:right w:val="single" w:sz="4" w:space="0" w:color="auto"/>
            </w:tcBorders>
            <w:shd w:val="clear" w:color="000000" w:fill="D9D9D9"/>
            <w:vAlign w:val="bottom"/>
          </w:tcPr>
          <w:p w:rsidR="00CB3386" w:rsidRPr="00AD151D" w:rsidRDefault="00CB3386" w:rsidP="007D0547">
            <w:pPr>
              <w:keepNext/>
              <w:keepLines/>
              <w:spacing w:before="20" w:afterLines="20" w:after="48"/>
              <w:jc w:val="right"/>
              <w:rPr>
                <w:b/>
                <w:sz w:val="16"/>
                <w:szCs w:val="16"/>
              </w:rPr>
            </w:pPr>
            <w:r w:rsidRPr="00AD151D">
              <w:rPr>
                <w:b/>
                <w:sz w:val="16"/>
                <w:szCs w:val="16"/>
              </w:rPr>
              <w:t>28,127</w:t>
            </w:r>
          </w:p>
        </w:tc>
        <w:tc>
          <w:tcPr>
            <w:tcW w:w="1170" w:type="dxa"/>
            <w:tcBorders>
              <w:top w:val="nil"/>
              <w:left w:val="nil"/>
              <w:bottom w:val="single" w:sz="4" w:space="0" w:color="auto"/>
              <w:right w:val="single" w:sz="4" w:space="0" w:color="auto"/>
            </w:tcBorders>
            <w:shd w:val="clear" w:color="000000" w:fill="D9D9D9"/>
            <w:vAlign w:val="bottom"/>
          </w:tcPr>
          <w:p w:rsidR="00CB3386" w:rsidRPr="00AD151D" w:rsidRDefault="00CB3386" w:rsidP="007D0547">
            <w:pPr>
              <w:keepNext/>
              <w:keepLines/>
              <w:spacing w:before="20" w:afterLines="20" w:after="48"/>
              <w:jc w:val="right"/>
              <w:rPr>
                <w:sz w:val="16"/>
                <w:szCs w:val="16"/>
              </w:rPr>
            </w:pPr>
            <w:r w:rsidRPr="00AD151D">
              <w:rPr>
                <w:sz w:val="16"/>
                <w:szCs w:val="16"/>
              </w:rPr>
              <w:t>31,261</w:t>
            </w:r>
          </w:p>
        </w:tc>
        <w:tc>
          <w:tcPr>
            <w:tcW w:w="878" w:type="dxa"/>
            <w:tcBorders>
              <w:top w:val="nil"/>
              <w:left w:val="nil"/>
              <w:bottom w:val="single" w:sz="4" w:space="0" w:color="auto"/>
              <w:right w:val="single" w:sz="4" w:space="0" w:color="auto"/>
            </w:tcBorders>
            <w:noWrap/>
            <w:vAlign w:val="bottom"/>
          </w:tcPr>
          <w:p w:rsidR="00CB3386" w:rsidRPr="00AD151D" w:rsidRDefault="00CB3386" w:rsidP="007D0547">
            <w:pPr>
              <w:keepNext/>
              <w:keepLines/>
              <w:spacing w:before="20" w:afterLines="20" w:after="48"/>
              <w:jc w:val="right"/>
              <w:rPr>
                <w:sz w:val="16"/>
                <w:szCs w:val="16"/>
              </w:rPr>
            </w:pPr>
            <w:r w:rsidRPr="00AD151D">
              <w:rPr>
                <w:sz w:val="16"/>
                <w:szCs w:val="16"/>
              </w:rPr>
              <w:t>33,116</w:t>
            </w:r>
          </w:p>
        </w:tc>
        <w:tc>
          <w:tcPr>
            <w:tcW w:w="1080" w:type="dxa"/>
            <w:tcBorders>
              <w:top w:val="nil"/>
              <w:left w:val="nil"/>
              <w:bottom w:val="single" w:sz="4" w:space="0" w:color="auto"/>
              <w:right w:val="single" w:sz="4" w:space="0" w:color="auto"/>
            </w:tcBorders>
            <w:shd w:val="clear" w:color="000000" w:fill="D9D9D9"/>
            <w:vAlign w:val="bottom"/>
          </w:tcPr>
          <w:p w:rsidR="00CB3386" w:rsidRPr="00AD151D" w:rsidRDefault="00CB3386" w:rsidP="007D0547">
            <w:pPr>
              <w:keepNext/>
              <w:keepLines/>
              <w:spacing w:before="20" w:afterLines="20" w:after="48"/>
              <w:jc w:val="right"/>
              <w:rPr>
                <w:sz w:val="16"/>
                <w:szCs w:val="16"/>
              </w:rPr>
            </w:pPr>
            <w:r w:rsidRPr="00AD151D">
              <w:rPr>
                <w:sz w:val="16"/>
                <w:szCs w:val="16"/>
              </w:rPr>
              <w:t>106%</w:t>
            </w:r>
          </w:p>
        </w:tc>
        <w:tc>
          <w:tcPr>
            <w:tcW w:w="1260" w:type="dxa"/>
            <w:tcBorders>
              <w:top w:val="nil"/>
              <w:left w:val="nil"/>
              <w:bottom w:val="single" w:sz="4" w:space="0" w:color="auto"/>
              <w:right w:val="single" w:sz="4" w:space="0" w:color="auto"/>
            </w:tcBorders>
            <w:shd w:val="clear" w:color="000000" w:fill="D9D9D9"/>
            <w:vAlign w:val="bottom"/>
          </w:tcPr>
          <w:p w:rsidR="00CB3386" w:rsidRPr="00AD151D" w:rsidRDefault="00CB3386" w:rsidP="007D0547">
            <w:pPr>
              <w:keepNext/>
              <w:keepLines/>
              <w:spacing w:before="20" w:afterLines="20" w:after="48"/>
              <w:jc w:val="right"/>
              <w:rPr>
                <w:sz w:val="16"/>
                <w:szCs w:val="16"/>
              </w:rPr>
            </w:pPr>
            <w:r w:rsidRPr="00AD151D">
              <w:rPr>
                <w:sz w:val="16"/>
                <w:szCs w:val="16"/>
              </w:rPr>
              <w:t>118%</w:t>
            </w:r>
          </w:p>
        </w:tc>
      </w:tr>
      <w:tr w:rsidR="00CB3386" w:rsidRPr="00AD151D" w:rsidTr="00C83B76">
        <w:trPr>
          <w:trHeight w:val="233"/>
        </w:trPr>
        <w:tc>
          <w:tcPr>
            <w:tcW w:w="536" w:type="dxa"/>
            <w:tcBorders>
              <w:top w:val="nil"/>
              <w:left w:val="single" w:sz="4" w:space="0" w:color="auto"/>
              <w:bottom w:val="single" w:sz="4" w:space="0" w:color="auto"/>
              <w:right w:val="single" w:sz="4" w:space="0" w:color="auto"/>
            </w:tcBorders>
            <w:vAlign w:val="bottom"/>
          </w:tcPr>
          <w:p w:rsidR="00CB3386" w:rsidRPr="00AD151D" w:rsidRDefault="00CB3386" w:rsidP="007D0547">
            <w:pPr>
              <w:keepNext/>
              <w:keepLines/>
              <w:spacing w:before="20" w:afterLines="20" w:after="48"/>
              <w:jc w:val="right"/>
              <w:rPr>
                <w:b/>
                <w:sz w:val="16"/>
                <w:szCs w:val="16"/>
              </w:rPr>
            </w:pPr>
            <w:r w:rsidRPr="00AD151D">
              <w:rPr>
                <w:b/>
                <w:sz w:val="16"/>
                <w:szCs w:val="16"/>
              </w:rPr>
              <w:t>Dec</w:t>
            </w:r>
          </w:p>
        </w:tc>
        <w:tc>
          <w:tcPr>
            <w:tcW w:w="819" w:type="dxa"/>
            <w:tcBorders>
              <w:top w:val="nil"/>
              <w:left w:val="nil"/>
              <w:bottom w:val="single" w:sz="4" w:space="0" w:color="auto"/>
              <w:right w:val="single" w:sz="4" w:space="0" w:color="auto"/>
            </w:tcBorders>
            <w:vAlign w:val="bottom"/>
          </w:tcPr>
          <w:p w:rsidR="00CB3386" w:rsidRPr="00AD151D" w:rsidRDefault="00CB3386" w:rsidP="007D0547">
            <w:pPr>
              <w:keepNext/>
              <w:keepLines/>
              <w:spacing w:before="20" w:afterLines="20" w:after="48"/>
              <w:jc w:val="right"/>
              <w:rPr>
                <w:sz w:val="16"/>
                <w:szCs w:val="16"/>
              </w:rPr>
            </w:pPr>
            <w:r w:rsidRPr="00AD151D">
              <w:rPr>
                <w:sz w:val="16"/>
                <w:szCs w:val="16"/>
              </w:rPr>
              <w:t xml:space="preserve">31,504 </w:t>
            </w:r>
          </w:p>
        </w:tc>
        <w:tc>
          <w:tcPr>
            <w:tcW w:w="788" w:type="dxa"/>
            <w:tcBorders>
              <w:top w:val="nil"/>
              <w:left w:val="nil"/>
              <w:bottom w:val="single" w:sz="4" w:space="0" w:color="auto"/>
              <w:right w:val="single" w:sz="4" w:space="0" w:color="auto"/>
            </w:tcBorders>
            <w:noWrap/>
            <w:vAlign w:val="bottom"/>
          </w:tcPr>
          <w:p w:rsidR="00CB3386" w:rsidRPr="00AD151D" w:rsidRDefault="00CB3386" w:rsidP="007D0547">
            <w:pPr>
              <w:keepNext/>
              <w:keepLines/>
              <w:spacing w:before="20" w:afterLines="20" w:after="48"/>
              <w:jc w:val="right"/>
              <w:rPr>
                <w:sz w:val="16"/>
                <w:szCs w:val="16"/>
              </w:rPr>
            </w:pPr>
            <w:r w:rsidRPr="00AD151D">
              <w:rPr>
                <w:sz w:val="16"/>
                <w:szCs w:val="16"/>
              </w:rPr>
              <w:t xml:space="preserve">1,276 </w:t>
            </w:r>
          </w:p>
        </w:tc>
        <w:tc>
          <w:tcPr>
            <w:tcW w:w="990" w:type="dxa"/>
            <w:tcBorders>
              <w:top w:val="nil"/>
              <w:left w:val="nil"/>
              <w:bottom w:val="single" w:sz="4" w:space="0" w:color="auto"/>
              <w:right w:val="single" w:sz="4" w:space="0" w:color="auto"/>
            </w:tcBorders>
            <w:noWrap/>
            <w:vAlign w:val="bottom"/>
          </w:tcPr>
          <w:p w:rsidR="00CB3386" w:rsidRPr="00AD151D" w:rsidRDefault="00CB3386" w:rsidP="007D0547">
            <w:pPr>
              <w:keepNext/>
              <w:keepLines/>
              <w:spacing w:before="20" w:afterLines="20" w:after="48"/>
              <w:jc w:val="right"/>
              <w:rPr>
                <w:sz w:val="16"/>
                <w:szCs w:val="16"/>
              </w:rPr>
            </w:pPr>
            <w:r w:rsidRPr="00AD151D">
              <w:rPr>
                <w:sz w:val="16"/>
                <w:szCs w:val="16"/>
              </w:rPr>
              <w:t xml:space="preserve">        1,084 </w:t>
            </w:r>
          </w:p>
        </w:tc>
        <w:tc>
          <w:tcPr>
            <w:tcW w:w="922" w:type="dxa"/>
            <w:tcBorders>
              <w:top w:val="nil"/>
              <w:left w:val="nil"/>
              <w:bottom w:val="single" w:sz="4" w:space="0" w:color="auto"/>
              <w:right w:val="single" w:sz="4" w:space="0" w:color="auto"/>
            </w:tcBorders>
            <w:shd w:val="clear" w:color="000000" w:fill="D9D9D9"/>
            <w:vAlign w:val="bottom"/>
          </w:tcPr>
          <w:p w:rsidR="00CB3386" w:rsidRPr="00AD151D" w:rsidRDefault="00CB3386" w:rsidP="007D0547">
            <w:pPr>
              <w:keepNext/>
              <w:keepLines/>
              <w:spacing w:before="20" w:afterLines="20" w:after="48"/>
              <w:jc w:val="right"/>
              <w:rPr>
                <w:b/>
                <w:sz w:val="16"/>
                <w:szCs w:val="16"/>
              </w:rPr>
            </w:pPr>
            <w:r w:rsidRPr="00AD151D">
              <w:rPr>
                <w:b/>
                <w:sz w:val="16"/>
                <w:szCs w:val="16"/>
              </w:rPr>
              <w:t>30,228</w:t>
            </w:r>
          </w:p>
        </w:tc>
        <w:tc>
          <w:tcPr>
            <w:tcW w:w="1170" w:type="dxa"/>
            <w:tcBorders>
              <w:top w:val="nil"/>
              <w:left w:val="nil"/>
              <w:bottom w:val="single" w:sz="4" w:space="0" w:color="auto"/>
              <w:right w:val="single" w:sz="4" w:space="0" w:color="auto"/>
            </w:tcBorders>
            <w:shd w:val="clear" w:color="000000" w:fill="D9D9D9"/>
            <w:vAlign w:val="bottom"/>
          </w:tcPr>
          <w:p w:rsidR="00CB3386" w:rsidRPr="00AD151D" w:rsidRDefault="00CB3386" w:rsidP="007D0547">
            <w:pPr>
              <w:keepNext/>
              <w:keepLines/>
              <w:spacing w:before="20" w:afterLines="20" w:after="48"/>
              <w:jc w:val="right"/>
              <w:rPr>
                <w:sz w:val="16"/>
                <w:szCs w:val="16"/>
              </w:rPr>
            </w:pPr>
            <w:r w:rsidRPr="00AD151D">
              <w:rPr>
                <w:sz w:val="16"/>
                <w:szCs w:val="16"/>
              </w:rPr>
              <w:t>33,678</w:t>
            </w:r>
          </w:p>
        </w:tc>
        <w:tc>
          <w:tcPr>
            <w:tcW w:w="878" w:type="dxa"/>
            <w:tcBorders>
              <w:top w:val="nil"/>
              <w:left w:val="nil"/>
              <w:bottom w:val="single" w:sz="4" w:space="0" w:color="auto"/>
              <w:right w:val="single" w:sz="4" w:space="0" w:color="auto"/>
            </w:tcBorders>
            <w:noWrap/>
            <w:vAlign w:val="bottom"/>
          </w:tcPr>
          <w:p w:rsidR="00CB3386" w:rsidRPr="00AD151D" w:rsidRDefault="00CB3386" w:rsidP="007D0547">
            <w:pPr>
              <w:keepNext/>
              <w:keepLines/>
              <w:spacing w:before="20" w:afterLines="20" w:after="48"/>
              <w:jc w:val="right"/>
              <w:rPr>
                <w:sz w:val="16"/>
                <w:szCs w:val="16"/>
              </w:rPr>
            </w:pPr>
            <w:r w:rsidRPr="00AD151D">
              <w:rPr>
                <w:sz w:val="16"/>
                <w:szCs w:val="16"/>
              </w:rPr>
              <w:t>35,266</w:t>
            </w:r>
          </w:p>
        </w:tc>
        <w:tc>
          <w:tcPr>
            <w:tcW w:w="1080" w:type="dxa"/>
            <w:tcBorders>
              <w:top w:val="nil"/>
              <w:left w:val="nil"/>
              <w:bottom w:val="single" w:sz="4" w:space="0" w:color="auto"/>
              <w:right w:val="single" w:sz="4" w:space="0" w:color="auto"/>
            </w:tcBorders>
            <w:shd w:val="clear" w:color="000000" w:fill="D9D9D9"/>
            <w:vAlign w:val="bottom"/>
          </w:tcPr>
          <w:p w:rsidR="00CB3386" w:rsidRPr="00AD151D" w:rsidRDefault="00CB3386" w:rsidP="007D0547">
            <w:pPr>
              <w:keepNext/>
              <w:keepLines/>
              <w:spacing w:before="20" w:afterLines="20" w:after="48"/>
              <w:jc w:val="right"/>
              <w:rPr>
                <w:sz w:val="16"/>
                <w:szCs w:val="16"/>
              </w:rPr>
            </w:pPr>
            <w:r w:rsidRPr="00AD151D">
              <w:rPr>
                <w:sz w:val="16"/>
                <w:szCs w:val="16"/>
              </w:rPr>
              <w:t>105%</w:t>
            </w:r>
          </w:p>
        </w:tc>
        <w:tc>
          <w:tcPr>
            <w:tcW w:w="1260" w:type="dxa"/>
            <w:tcBorders>
              <w:top w:val="nil"/>
              <w:left w:val="nil"/>
              <w:bottom w:val="single" w:sz="4" w:space="0" w:color="auto"/>
              <w:right w:val="single" w:sz="4" w:space="0" w:color="auto"/>
            </w:tcBorders>
            <w:shd w:val="clear" w:color="000000" w:fill="D9D9D9"/>
            <w:vAlign w:val="bottom"/>
          </w:tcPr>
          <w:p w:rsidR="00CB3386" w:rsidRPr="00AD151D" w:rsidRDefault="00CB3386" w:rsidP="007D0547">
            <w:pPr>
              <w:keepNext/>
              <w:keepLines/>
              <w:spacing w:before="20" w:afterLines="20" w:after="48"/>
              <w:jc w:val="right"/>
              <w:rPr>
                <w:sz w:val="16"/>
                <w:szCs w:val="16"/>
              </w:rPr>
            </w:pPr>
            <w:r w:rsidRPr="00AD151D">
              <w:rPr>
                <w:sz w:val="16"/>
                <w:szCs w:val="16"/>
              </w:rPr>
              <w:t>117%</w:t>
            </w:r>
          </w:p>
        </w:tc>
      </w:tr>
    </w:tbl>
    <w:p w:rsidR="00AE7D50" w:rsidRPr="00F669D6" w:rsidRDefault="00AE7D50" w:rsidP="00580872">
      <w:pPr>
        <w:pStyle w:val="Caption"/>
        <w:keepNext/>
        <w:keepLines/>
        <w:spacing w:before="120"/>
        <w:rPr>
          <w:b w:val="0"/>
        </w:rPr>
      </w:pPr>
      <w:r w:rsidRPr="00F669D6">
        <w:rPr>
          <w:b w:val="0"/>
        </w:rPr>
        <w:t>Source: Aggregated LSE Monthly RA Filings</w:t>
      </w:r>
      <w:r w:rsidRPr="00F669D6">
        <w:rPr>
          <w:rStyle w:val="FootnoteReference"/>
          <w:b w:val="0"/>
        </w:rPr>
        <w:footnoteReference w:id="20"/>
      </w:r>
      <w:r w:rsidRPr="00F669D6">
        <w:rPr>
          <w:b w:val="0"/>
        </w:rPr>
        <w:t xml:space="preserve"> </w:t>
      </w:r>
    </w:p>
    <w:p w:rsidR="00AE7D50" w:rsidRPr="00277DC8" w:rsidRDefault="00AE7D50">
      <w:pPr>
        <w:pStyle w:val="Heading2"/>
        <w:numPr>
          <w:ilvl w:val="1"/>
          <w:numId w:val="18"/>
        </w:numPr>
        <w:rPr>
          <w:i w:val="0"/>
        </w:rPr>
      </w:pPr>
      <w:bookmarkStart w:id="51" w:name="_Toc347827047"/>
      <w:r w:rsidRPr="00277DC8">
        <w:rPr>
          <w:i w:val="0"/>
        </w:rPr>
        <w:t>Local RA Program – CPUC Jurisdictional LSEs</w:t>
      </w:r>
      <w:bookmarkEnd w:id="51"/>
    </w:p>
    <w:p w:rsidR="00AE7D50" w:rsidRPr="00AD151D" w:rsidRDefault="00AE7D50">
      <w:pPr>
        <w:pStyle w:val="ListBullet"/>
        <w:tabs>
          <w:tab w:val="clear" w:pos="360"/>
        </w:tabs>
        <w:spacing w:before="120"/>
        <w:ind w:left="0" w:firstLine="720"/>
      </w:pPr>
      <w:r w:rsidRPr="00AD151D">
        <w:t>Beginning with the 2007 compliance year, the CPUC required LSEs to</w:t>
      </w:r>
      <w:r w:rsidR="00580872">
        <w:t xml:space="preserve"> file an</w:t>
      </w:r>
      <w:r w:rsidRPr="00AD151D">
        <w:t xml:space="preserve"> </w:t>
      </w:r>
      <w:r w:rsidR="00580872">
        <w:t xml:space="preserve">annual </w:t>
      </w:r>
      <w:r w:rsidRPr="00AD151D">
        <w:t>demonstrat</w:t>
      </w:r>
      <w:r w:rsidR="00580872">
        <w:t>ion</w:t>
      </w:r>
      <w:r w:rsidRPr="00AD151D">
        <w:t xml:space="preserve"> that they acquired adequate generation capacity within defined transmission-constrained areas.  D.10-03-022 adopted a biannual Local RA true up process for 2010, and D.10-12-038 modified and adopted an alternative mechanism for 2011 and beyond.</w:t>
      </w:r>
      <w:r w:rsidRPr="00AD151D">
        <w:rPr>
          <w:rStyle w:val="FootnoteReference"/>
        </w:rPr>
        <w:footnoteReference w:id="21"/>
      </w:r>
      <w:r w:rsidRPr="00AD151D">
        <w:t xml:space="preserve">  For the 2011 compliance year, there were two cycles of Local RA True-ups, where incremental amounts of load migration meant incremental adjustments made to each LSE’s Local RA obligation.</w:t>
      </w:r>
      <w:r w:rsidR="003546BE" w:rsidRPr="003546BE">
        <w:t xml:space="preserve"> </w:t>
      </w:r>
      <w:r w:rsidR="003546BE" w:rsidRPr="00AD151D">
        <w:t>One adjustment is made in February for the May and June 2011 compliance months, and the second is made in April for the July through December 2011 compliance months.</w:t>
      </w:r>
    </w:p>
    <w:p w:rsidR="00AE7D50" w:rsidRPr="00AD151D" w:rsidRDefault="00AE7D50">
      <w:pPr>
        <w:pStyle w:val="Heading3"/>
        <w:numPr>
          <w:ilvl w:val="2"/>
          <w:numId w:val="18"/>
        </w:numPr>
      </w:pPr>
      <w:bookmarkStart w:id="52" w:name="_Toc224022437"/>
      <w:bookmarkStart w:id="53" w:name="_Toc347827048"/>
      <w:r w:rsidRPr="00AD151D">
        <w:t>Year Ahead Local RA Procurement</w:t>
      </w:r>
      <w:bookmarkEnd w:id="53"/>
      <w:r w:rsidRPr="00AD151D">
        <w:t xml:space="preserve"> </w:t>
      </w:r>
      <w:bookmarkEnd w:id="52"/>
    </w:p>
    <w:p w:rsidR="00AE7D50" w:rsidRPr="00AD151D" w:rsidRDefault="001F42D5">
      <w:pPr>
        <w:pStyle w:val="Noraml"/>
        <w:spacing w:before="120" w:line="240" w:lineRule="auto"/>
        <w:rPr>
          <w:rFonts w:ascii="Times New Roman" w:hAnsi="Times New Roman"/>
          <w:sz w:val="24"/>
        </w:rPr>
      </w:pPr>
      <w:r w:rsidRPr="00AD151D">
        <w:rPr>
          <w:rFonts w:ascii="Times New Roman" w:hAnsi="Times New Roman"/>
          <w:sz w:val="24"/>
        </w:rPr>
        <w:t>In D.10</w:t>
      </w:r>
      <w:r w:rsidR="00641711" w:rsidRPr="00AD151D">
        <w:rPr>
          <w:rFonts w:ascii="Times New Roman" w:hAnsi="Times New Roman"/>
          <w:sz w:val="24"/>
        </w:rPr>
        <w:t>-06-036</w:t>
      </w:r>
      <w:r w:rsidR="00AE7D50" w:rsidRPr="00AD151D">
        <w:rPr>
          <w:rFonts w:ascii="Times New Roman" w:hAnsi="Times New Roman"/>
          <w:sz w:val="24"/>
        </w:rPr>
        <w:t xml:space="preserve"> the CPUC establish</w:t>
      </w:r>
      <w:r w:rsidRPr="00AD151D">
        <w:rPr>
          <w:rFonts w:ascii="Times New Roman" w:hAnsi="Times New Roman"/>
          <w:sz w:val="24"/>
        </w:rPr>
        <w:t>ed Local RA obligations for 2011</w:t>
      </w:r>
      <w:r w:rsidR="00AE7D50" w:rsidRPr="00AD151D">
        <w:rPr>
          <w:rFonts w:ascii="Times New Roman" w:hAnsi="Times New Roman"/>
          <w:sz w:val="24"/>
        </w:rPr>
        <w:t xml:space="preserve"> compliance year and ordered LSEs to procure Local RA capacity in each of five Local Areas (Big Creek/Ventura, LA Basin, San Diego, Greater Bay </w:t>
      </w:r>
      <w:r w:rsidR="00AE7D50" w:rsidRPr="00AD151D">
        <w:rPr>
          <w:rFonts w:ascii="Times New Roman" w:hAnsi="Times New Roman"/>
          <w:sz w:val="24"/>
          <w:szCs w:val="24"/>
        </w:rPr>
        <w:t xml:space="preserve">Area, and Other PG&amp;E Local).  </w:t>
      </w:r>
      <w:r w:rsidR="00AE7D50" w:rsidRPr="00AD151D">
        <w:rPr>
          <w:rFonts w:ascii="Times New Roman" w:hAnsi="Times New Roman"/>
          <w:sz w:val="24"/>
        </w:rPr>
        <w:t>These Local Area obligations are informed by the CAISO’s 201</w:t>
      </w:r>
      <w:r w:rsidR="00641711" w:rsidRPr="00AD151D">
        <w:rPr>
          <w:rFonts w:ascii="Times New Roman" w:hAnsi="Times New Roman"/>
          <w:sz w:val="24"/>
        </w:rPr>
        <w:t>1</w:t>
      </w:r>
      <w:r w:rsidR="00AE7D50" w:rsidRPr="00AD151D">
        <w:rPr>
          <w:rFonts w:ascii="Times New Roman" w:hAnsi="Times New Roman"/>
          <w:sz w:val="24"/>
        </w:rPr>
        <w:t xml:space="preserve"> Local Capacity Technical Analysis.</w:t>
      </w:r>
      <w:r w:rsidR="00AE7D50" w:rsidRPr="00AD151D">
        <w:rPr>
          <w:rStyle w:val="FootnoteReference"/>
          <w:rFonts w:ascii="Times New Roman" w:hAnsi="Times New Roman"/>
          <w:sz w:val="24"/>
        </w:rPr>
        <w:footnoteReference w:id="22"/>
      </w:r>
      <w:r w:rsidR="00AE7D50" w:rsidRPr="00AD151D">
        <w:rPr>
          <w:rFonts w:ascii="Times New Roman" w:hAnsi="Times New Roman"/>
          <w:sz w:val="24"/>
        </w:rPr>
        <w:t xml:space="preserve">  </w:t>
      </w:r>
    </w:p>
    <w:p w:rsidR="00AE7D50" w:rsidRPr="00AD151D" w:rsidRDefault="00AE7D50">
      <w:pPr>
        <w:pStyle w:val="Noraml"/>
        <w:spacing w:before="120" w:line="240" w:lineRule="auto"/>
        <w:rPr>
          <w:rFonts w:ascii="Times New Roman" w:hAnsi="Times New Roman"/>
          <w:sz w:val="24"/>
        </w:rPr>
      </w:pPr>
      <w:r w:rsidRPr="00AD151D">
        <w:rPr>
          <w:rFonts w:ascii="Times New Roman" w:hAnsi="Times New Roman"/>
          <w:sz w:val="24"/>
          <w:szCs w:val="24"/>
        </w:rPr>
        <w:lastRenderedPageBreak/>
        <w:t>CPUC jurisdictional LSEs’ overall Local RA procurement for 201</w:t>
      </w:r>
      <w:r w:rsidR="00641711" w:rsidRPr="00AD151D">
        <w:rPr>
          <w:rFonts w:ascii="Times New Roman" w:hAnsi="Times New Roman"/>
          <w:sz w:val="24"/>
          <w:szCs w:val="24"/>
        </w:rPr>
        <w:t>1</w:t>
      </w:r>
      <w:r w:rsidRPr="00AD151D">
        <w:rPr>
          <w:rFonts w:ascii="Times New Roman" w:hAnsi="Times New Roman"/>
          <w:sz w:val="24"/>
          <w:szCs w:val="24"/>
        </w:rPr>
        <w:t xml:space="preserve"> is summarized in </w:t>
      </w:r>
      <w:r w:rsidR="00F27FC0" w:rsidRPr="00AD151D">
        <w:fldChar w:fldCharType="begin"/>
      </w:r>
      <w:r w:rsidR="00F27FC0" w:rsidRPr="00AD151D">
        <w:instrText xml:space="preserve"> REF _Ref225160729 \h  \* MERGEFORMAT </w:instrText>
      </w:r>
      <w:r w:rsidR="00F27FC0" w:rsidRPr="00AD151D">
        <w:fldChar w:fldCharType="separate"/>
      </w:r>
      <w:r w:rsidR="00B3535E" w:rsidRPr="00B3535E">
        <w:rPr>
          <w:rFonts w:ascii="Times New Roman" w:hAnsi="Times New Roman"/>
          <w:sz w:val="24"/>
          <w:szCs w:val="24"/>
        </w:rPr>
        <w:t>Table 5</w:t>
      </w:r>
      <w:r w:rsidR="00F27FC0" w:rsidRPr="00AD151D">
        <w:fldChar w:fldCharType="end"/>
      </w:r>
      <w:r w:rsidRPr="00AD151D">
        <w:rPr>
          <w:rFonts w:ascii="Times New Roman" w:hAnsi="Times New Roman"/>
          <w:sz w:val="24"/>
          <w:szCs w:val="24"/>
        </w:rPr>
        <w:t>.  CPUC jurisdictional LSEs procured Local RA Resources sufficient to meet CPUC Local RA obligations in all five Local Areas of California in 201</w:t>
      </w:r>
      <w:r w:rsidR="003A04F3" w:rsidRPr="00AD151D">
        <w:rPr>
          <w:rFonts w:ascii="Times New Roman" w:hAnsi="Times New Roman"/>
          <w:sz w:val="24"/>
          <w:szCs w:val="24"/>
        </w:rPr>
        <w:t>1</w:t>
      </w:r>
      <w:r w:rsidRPr="00AD151D">
        <w:rPr>
          <w:rFonts w:ascii="Times New Roman" w:hAnsi="Times New Roman"/>
          <w:sz w:val="24"/>
          <w:szCs w:val="24"/>
        </w:rPr>
        <w:t>, with aggregate minimum procurement exceeding Local RAR by 1</w:t>
      </w:r>
      <w:r w:rsidR="001B7740">
        <w:rPr>
          <w:rFonts w:ascii="Times New Roman" w:hAnsi="Times New Roman"/>
          <w:sz w:val="24"/>
          <w:szCs w:val="24"/>
        </w:rPr>
        <w:t>0</w:t>
      </w:r>
      <w:r w:rsidRPr="00AD151D">
        <w:rPr>
          <w:rFonts w:ascii="Times New Roman" w:hAnsi="Times New Roman"/>
          <w:sz w:val="24"/>
          <w:szCs w:val="24"/>
        </w:rPr>
        <w:t xml:space="preserve"> percent for all Local Areas, and from </w:t>
      </w:r>
      <w:r w:rsidR="001B7740">
        <w:rPr>
          <w:rFonts w:ascii="Times New Roman" w:hAnsi="Times New Roman"/>
          <w:sz w:val="24"/>
          <w:szCs w:val="24"/>
        </w:rPr>
        <w:t>2</w:t>
      </w:r>
      <w:r w:rsidRPr="00AD151D">
        <w:rPr>
          <w:rFonts w:ascii="Times New Roman" w:hAnsi="Times New Roman"/>
          <w:sz w:val="24"/>
          <w:szCs w:val="24"/>
        </w:rPr>
        <w:t xml:space="preserve"> to </w:t>
      </w:r>
      <w:r w:rsidR="001B7740">
        <w:rPr>
          <w:rFonts w:ascii="Times New Roman" w:hAnsi="Times New Roman"/>
          <w:sz w:val="24"/>
          <w:szCs w:val="24"/>
        </w:rPr>
        <w:t>30</w:t>
      </w:r>
      <w:r w:rsidR="001B7740" w:rsidRPr="00AD151D">
        <w:rPr>
          <w:rFonts w:ascii="Times New Roman" w:hAnsi="Times New Roman"/>
          <w:sz w:val="24"/>
          <w:szCs w:val="24"/>
        </w:rPr>
        <w:t xml:space="preserve"> </w:t>
      </w:r>
      <w:r w:rsidRPr="00AD151D">
        <w:rPr>
          <w:rFonts w:ascii="Times New Roman" w:hAnsi="Times New Roman"/>
          <w:sz w:val="24"/>
          <w:szCs w:val="24"/>
        </w:rPr>
        <w:t xml:space="preserve">percent in individual Local Areas.  </w:t>
      </w:r>
    </w:p>
    <w:p w:rsidR="00AE7D50" w:rsidRPr="00AD151D" w:rsidRDefault="00AE7D50">
      <w:pPr>
        <w:pStyle w:val="Caption"/>
        <w:keepNext/>
        <w:keepLines/>
        <w:spacing w:before="120"/>
        <w:rPr>
          <w:bCs w:val="0"/>
          <w:sz w:val="22"/>
        </w:rPr>
      </w:pPr>
      <w:bookmarkStart w:id="54" w:name="_Ref225160729"/>
      <w:bookmarkStart w:id="55" w:name="_Toc347827075"/>
      <w:r w:rsidRPr="00AD151D">
        <w:t xml:space="preserve">Table </w:t>
      </w:r>
      <w:r w:rsidR="00B3535E">
        <w:fldChar w:fldCharType="begin"/>
      </w:r>
      <w:r w:rsidR="00B3535E">
        <w:instrText xml:space="preserve"> SEQ Table \* ARABIC </w:instrText>
      </w:r>
      <w:r w:rsidR="00B3535E">
        <w:fldChar w:fldCharType="separate"/>
      </w:r>
      <w:r w:rsidR="00B3535E">
        <w:rPr>
          <w:noProof/>
        </w:rPr>
        <w:t>5</w:t>
      </w:r>
      <w:r w:rsidR="00B3535E">
        <w:rPr>
          <w:noProof/>
        </w:rPr>
        <w:fldChar w:fldCharType="end"/>
      </w:r>
      <w:bookmarkEnd w:id="54"/>
      <w:r w:rsidRPr="00AD151D">
        <w:t>. Local RA procurement in 2011 – CPUC jurisdictional LSEs</w:t>
      </w:r>
      <w:bookmarkEnd w:id="55"/>
    </w:p>
    <w:tbl>
      <w:tblPr>
        <w:tblW w:w="8494" w:type="dxa"/>
        <w:tblInd w:w="98" w:type="dxa"/>
        <w:tblLayout w:type="fixed"/>
        <w:tblLook w:val="0000" w:firstRow="0" w:lastRow="0" w:firstColumn="0" w:lastColumn="0" w:noHBand="0" w:noVBand="0"/>
      </w:tblPr>
      <w:tblGrid>
        <w:gridCol w:w="1908"/>
        <w:gridCol w:w="982"/>
        <w:gridCol w:w="1121"/>
        <w:gridCol w:w="1579"/>
        <w:gridCol w:w="1080"/>
        <w:gridCol w:w="1824"/>
      </w:tblGrid>
      <w:tr w:rsidR="00AE7D50" w:rsidRPr="00AD151D" w:rsidTr="00E76442">
        <w:trPr>
          <w:trHeight w:val="385"/>
        </w:trPr>
        <w:tc>
          <w:tcPr>
            <w:tcW w:w="1908" w:type="dxa"/>
            <w:tcBorders>
              <w:top w:val="single" w:sz="8" w:space="0" w:color="auto"/>
              <w:left w:val="single" w:sz="8" w:space="0" w:color="auto"/>
              <w:bottom w:val="single" w:sz="8" w:space="0" w:color="auto"/>
              <w:right w:val="single" w:sz="8" w:space="0" w:color="auto"/>
            </w:tcBorders>
          </w:tcPr>
          <w:p w:rsidR="00AE7D50" w:rsidRPr="00AD151D" w:rsidRDefault="00AE7D50">
            <w:pPr>
              <w:rPr>
                <w:b/>
                <w:bCs/>
                <w:color w:val="000000"/>
                <w:sz w:val="16"/>
                <w:szCs w:val="16"/>
              </w:rPr>
            </w:pPr>
            <w:r w:rsidRPr="00AD151D">
              <w:rPr>
                <w:b/>
                <w:bCs/>
                <w:color w:val="000000"/>
                <w:sz w:val="16"/>
                <w:szCs w:val="16"/>
              </w:rPr>
              <w:t>Local Areas in 2011</w:t>
            </w:r>
          </w:p>
        </w:tc>
        <w:tc>
          <w:tcPr>
            <w:tcW w:w="982" w:type="dxa"/>
            <w:tcBorders>
              <w:top w:val="single" w:sz="8" w:space="0" w:color="auto"/>
              <w:left w:val="nil"/>
              <w:bottom w:val="single" w:sz="8" w:space="0" w:color="auto"/>
              <w:right w:val="single" w:sz="8" w:space="0" w:color="auto"/>
            </w:tcBorders>
          </w:tcPr>
          <w:p w:rsidR="00AE7D50" w:rsidRPr="00AD151D" w:rsidRDefault="00AE7D50">
            <w:pPr>
              <w:jc w:val="center"/>
              <w:rPr>
                <w:b/>
                <w:bCs/>
                <w:color w:val="000000"/>
                <w:sz w:val="16"/>
                <w:szCs w:val="16"/>
              </w:rPr>
            </w:pPr>
            <w:r w:rsidRPr="00AD151D">
              <w:rPr>
                <w:b/>
                <w:bCs/>
                <w:color w:val="000000"/>
                <w:sz w:val="16"/>
                <w:szCs w:val="16"/>
              </w:rPr>
              <w:t>Total LCR</w:t>
            </w:r>
          </w:p>
        </w:tc>
        <w:tc>
          <w:tcPr>
            <w:tcW w:w="1121" w:type="dxa"/>
            <w:tcBorders>
              <w:top w:val="single" w:sz="8" w:space="0" w:color="auto"/>
              <w:left w:val="nil"/>
              <w:bottom w:val="single" w:sz="8" w:space="0" w:color="auto"/>
              <w:right w:val="single" w:sz="8" w:space="0" w:color="auto"/>
            </w:tcBorders>
          </w:tcPr>
          <w:p w:rsidR="00AE7D50" w:rsidRPr="00AD151D" w:rsidRDefault="00AE7D50">
            <w:pPr>
              <w:jc w:val="center"/>
              <w:rPr>
                <w:b/>
                <w:bCs/>
                <w:color w:val="000000"/>
                <w:sz w:val="16"/>
                <w:szCs w:val="16"/>
              </w:rPr>
            </w:pPr>
            <w:r w:rsidRPr="00AD151D">
              <w:rPr>
                <w:b/>
                <w:bCs/>
                <w:color w:val="000000"/>
                <w:sz w:val="16"/>
                <w:szCs w:val="16"/>
              </w:rPr>
              <w:t xml:space="preserve">CPUC </w:t>
            </w:r>
            <w:r w:rsidR="00CF56EC">
              <w:rPr>
                <w:b/>
                <w:bCs/>
                <w:color w:val="000000"/>
                <w:sz w:val="16"/>
                <w:szCs w:val="16"/>
              </w:rPr>
              <w:t>J</w:t>
            </w:r>
            <w:r w:rsidR="00CF56EC" w:rsidRPr="00AD151D">
              <w:rPr>
                <w:b/>
                <w:bCs/>
                <w:color w:val="000000"/>
                <w:sz w:val="16"/>
                <w:szCs w:val="16"/>
              </w:rPr>
              <w:t>uris</w:t>
            </w:r>
            <w:r w:rsidRPr="00AD151D">
              <w:rPr>
                <w:b/>
                <w:bCs/>
                <w:color w:val="000000"/>
                <w:sz w:val="16"/>
                <w:szCs w:val="16"/>
              </w:rPr>
              <w:t xml:space="preserve"> Local RAR</w:t>
            </w:r>
          </w:p>
        </w:tc>
        <w:tc>
          <w:tcPr>
            <w:tcW w:w="1579" w:type="dxa"/>
            <w:tcBorders>
              <w:top w:val="single" w:sz="8" w:space="0" w:color="auto"/>
              <w:left w:val="nil"/>
              <w:bottom w:val="single" w:sz="8" w:space="0" w:color="auto"/>
              <w:right w:val="single" w:sz="8" w:space="0" w:color="auto"/>
            </w:tcBorders>
          </w:tcPr>
          <w:p w:rsidR="00AE7D50" w:rsidRPr="00AD151D" w:rsidRDefault="00AE7D50" w:rsidP="00E76442">
            <w:pPr>
              <w:jc w:val="center"/>
              <w:rPr>
                <w:b/>
                <w:bCs/>
                <w:color w:val="000000"/>
                <w:sz w:val="16"/>
                <w:szCs w:val="16"/>
              </w:rPr>
            </w:pPr>
            <w:r w:rsidRPr="00AD151D">
              <w:rPr>
                <w:b/>
                <w:bCs/>
                <w:color w:val="000000"/>
                <w:sz w:val="16"/>
                <w:szCs w:val="16"/>
              </w:rPr>
              <w:t>Minimum Physical Resources per Month</w:t>
            </w:r>
          </w:p>
        </w:tc>
        <w:tc>
          <w:tcPr>
            <w:tcW w:w="1080" w:type="dxa"/>
            <w:tcBorders>
              <w:top w:val="single" w:sz="8" w:space="0" w:color="auto"/>
              <w:left w:val="nil"/>
              <w:bottom w:val="single" w:sz="8" w:space="0" w:color="auto"/>
              <w:right w:val="single" w:sz="8" w:space="0" w:color="auto"/>
            </w:tcBorders>
          </w:tcPr>
          <w:p w:rsidR="00AE7D50" w:rsidRPr="00AD151D" w:rsidRDefault="00AE7D50" w:rsidP="00C85210">
            <w:pPr>
              <w:jc w:val="center"/>
              <w:rPr>
                <w:b/>
                <w:bCs/>
                <w:color w:val="000000"/>
                <w:sz w:val="16"/>
                <w:szCs w:val="16"/>
              </w:rPr>
            </w:pPr>
            <w:r w:rsidRPr="00AD151D">
              <w:rPr>
                <w:b/>
                <w:bCs/>
                <w:color w:val="000000"/>
                <w:sz w:val="16"/>
                <w:szCs w:val="16"/>
              </w:rPr>
              <w:t xml:space="preserve">Local </w:t>
            </w:r>
            <w:r w:rsidR="00C85210">
              <w:rPr>
                <w:b/>
                <w:bCs/>
                <w:color w:val="000000"/>
                <w:sz w:val="16"/>
                <w:szCs w:val="16"/>
              </w:rPr>
              <w:t>CAM/</w:t>
            </w:r>
            <w:r w:rsidRPr="00AD151D">
              <w:rPr>
                <w:b/>
                <w:bCs/>
                <w:color w:val="000000"/>
                <w:sz w:val="16"/>
                <w:szCs w:val="16"/>
              </w:rPr>
              <w:t>RMR/DR credit</w:t>
            </w:r>
          </w:p>
        </w:tc>
        <w:tc>
          <w:tcPr>
            <w:tcW w:w="1824" w:type="dxa"/>
            <w:tcBorders>
              <w:top w:val="single" w:sz="8" w:space="0" w:color="auto"/>
              <w:left w:val="nil"/>
              <w:bottom w:val="single" w:sz="8" w:space="0" w:color="auto"/>
              <w:right w:val="single" w:sz="8" w:space="0" w:color="auto"/>
            </w:tcBorders>
          </w:tcPr>
          <w:p w:rsidR="00AE7D50" w:rsidRPr="00AD151D" w:rsidRDefault="00AE7D50">
            <w:pPr>
              <w:jc w:val="center"/>
              <w:rPr>
                <w:b/>
                <w:bCs/>
                <w:color w:val="000000"/>
                <w:sz w:val="16"/>
                <w:szCs w:val="16"/>
              </w:rPr>
            </w:pPr>
            <w:r w:rsidRPr="00AD151D">
              <w:rPr>
                <w:b/>
                <w:bCs/>
                <w:color w:val="000000"/>
                <w:sz w:val="16"/>
                <w:szCs w:val="16"/>
              </w:rPr>
              <w:t>Minimum procurement as percent of Local RAR</w:t>
            </w:r>
          </w:p>
        </w:tc>
      </w:tr>
      <w:tr w:rsidR="001B7740" w:rsidRPr="00AD151D" w:rsidTr="00E76442">
        <w:trPr>
          <w:trHeight w:val="173"/>
        </w:trPr>
        <w:tc>
          <w:tcPr>
            <w:tcW w:w="1908" w:type="dxa"/>
            <w:tcBorders>
              <w:top w:val="single" w:sz="4" w:space="0" w:color="auto"/>
              <w:left w:val="single" w:sz="4" w:space="0" w:color="auto"/>
              <w:bottom w:val="single" w:sz="4" w:space="0" w:color="auto"/>
              <w:right w:val="single" w:sz="4" w:space="0" w:color="auto"/>
            </w:tcBorders>
            <w:noWrap/>
            <w:vAlign w:val="bottom"/>
          </w:tcPr>
          <w:p w:rsidR="001B7740" w:rsidRPr="00AD151D" w:rsidRDefault="001B7740">
            <w:pPr>
              <w:rPr>
                <w:b/>
                <w:bCs/>
                <w:sz w:val="16"/>
                <w:szCs w:val="16"/>
              </w:rPr>
            </w:pPr>
          </w:p>
        </w:tc>
        <w:tc>
          <w:tcPr>
            <w:tcW w:w="982" w:type="dxa"/>
            <w:tcBorders>
              <w:top w:val="single" w:sz="4" w:space="0" w:color="auto"/>
              <w:left w:val="nil"/>
              <w:bottom w:val="single" w:sz="4" w:space="0" w:color="auto"/>
              <w:right w:val="single" w:sz="4" w:space="0" w:color="auto"/>
            </w:tcBorders>
            <w:noWrap/>
            <w:vAlign w:val="bottom"/>
          </w:tcPr>
          <w:p w:rsidR="001B7740" w:rsidRPr="00AD151D" w:rsidRDefault="001B7740" w:rsidP="000D7850">
            <w:pPr>
              <w:jc w:val="center"/>
              <w:rPr>
                <w:sz w:val="16"/>
                <w:szCs w:val="16"/>
              </w:rPr>
            </w:pPr>
            <w:r>
              <w:rPr>
                <w:sz w:val="16"/>
                <w:szCs w:val="16"/>
              </w:rPr>
              <w:t>A</w:t>
            </w:r>
          </w:p>
        </w:tc>
        <w:tc>
          <w:tcPr>
            <w:tcW w:w="1121" w:type="dxa"/>
            <w:tcBorders>
              <w:top w:val="single" w:sz="4" w:space="0" w:color="auto"/>
              <w:left w:val="nil"/>
              <w:bottom w:val="single" w:sz="4" w:space="0" w:color="auto"/>
              <w:right w:val="single" w:sz="4" w:space="0" w:color="auto"/>
            </w:tcBorders>
            <w:noWrap/>
            <w:vAlign w:val="bottom"/>
          </w:tcPr>
          <w:p w:rsidR="001B7740" w:rsidRPr="00AD151D" w:rsidRDefault="001B7740" w:rsidP="000D7850">
            <w:pPr>
              <w:jc w:val="center"/>
              <w:rPr>
                <w:sz w:val="16"/>
                <w:szCs w:val="16"/>
              </w:rPr>
            </w:pPr>
            <w:r>
              <w:rPr>
                <w:sz w:val="16"/>
                <w:szCs w:val="16"/>
              </w:rPr>
              <w:t>B</w:t>
            </w:r>
          </w:p>
        </w:tc>
        <w:tc>
          <w:tcPr>
            <w:tcW w:w="1579" w:type="dxa"/>
            <w:tcBorders>
              <w:top w:val="single" w:sz="4" w:space="0" w:color="auto"/>
              <w:left w:val="nil"/>
              <w:bottom w:val="single" w:sz="4" w:space="0" w:color="auto"/>
              <w:right w:val="single" w:sz="4" w:space="0" w:color="auto"/>
            </w:tcBorders>
            <w:noWrap/>
            <w:vAlign w:val="center"/>
          </w:tcPr>
          <w:p w:rsidR="001B7740" w:rsidRPr="00AD151D" w:rsidRDefault="001B7740" w:rsidP="000D7850">
            <w:pPr>
              <w:jc w:val="center"/>
              <w:rPr>
                <w:sz w:val="16"/>
                <w:szCs w:val="16"/>
              </w:rPr>
            </w:pPr>
            <w:r>
              <w:rPr>
                <w:sz w:val="16"/>
                <w:szCs w:val="16"/>
              </w:rPr>
              <w:t>C</w:t>
            </w:r>
          </w:p>
        </w:tc>
        <w:tc>
          <w:tcPr>
            <w:tcW w:w="1080" w:type="dxa"/>
            <w:tcBorders>
              <w:top w:val="single" w:sz="4" w:space="0" w:color="auto"/>
              <w:left w:val="nil"/>
              <w:bottom w:val="single" w:sz="4" w:space="0" w:color="auto"/>
              <w:right w:val="single" w:sz="4" w:space="0" w:color="auto"/>
            </w:tcBorders>
            <w:noWrap/>
            <w:vAlign w:val="center"/>
          </w:tcPr>
          <w:p w:rsidR="001B7740" w:rsidRPr="00AD151D" w:rsidRDefault="001B7740" w:rsidP="000D7850">
            <w:pPr>
              <w:jc w:val="center"/>
              <w:rPr>
                <w:sz w:val="16"/>
                <w:szCs w:val="16"/>
              </w:rPr>
            </w:pPr>
            <w:r>
              <w:rPr>
                <w:sz w:val="16"/>
                <w:szCs w:val="16"/>
              </w:rPr>
              <w:t>D</w:t>
            </w:r>
          </w:p>
        </w:tc>
        <w:tc>
          <w:tcPr>
            <w:tcW w:w="1824" w:type="dxa"/>
            <w:tcBorders>
              <w:top w:val="single" w:sz="4" w:space="0" w:color="auto"/>
              <w:left w:val="nil"/>
              <w:bottom w:val="single" w:sz="4" w:space="0" w:color="auto"/>
              <w:right w:val="single" w:sz="4" w:space="0" w:color="auto"/>
            </w:tcBorders>
            <w:noWrap/>
            <w:vAlign w:val="bottom"/>
          </w:tcPr>
          <w:p w:rsidR="001B7740" w:rsidRPr="00AD151D" w:rsidRDefault="001B7740" w:rsidP="000D7850">
            <w:pPr>
              <w:jc w:val="center"/>
              <w:rPr>
                <w:sz w:val="16"/>
                <w:szCs w:val="16"/>
              </w:rPr>
            </w:pPr>
            <w:r>
              <w:rPr>
                <w:sz w:val="16"/>
                <w:szCs w:val="16"/>
              </w:rPr>
              <w:t>(C+D)/B</w:t>
            </w:r>
          </w:p>
        </w:tc>
      </w:tr>
      <w:tr w:rsidR="00AE7D50" w:rsidRPr="00AD151D" w:rsidTr="00E76442">
        <w:trPr>
          <w:trHeight w:val="173"/>
        </w:trPr>
        <w:tc>
          <w:tcPr>
            <w:tcW w:w="1908" w:type="dxa"/>
            <w:tcBorders>
              <w:top w:val="single" w:sz="4" w:space="0" w:color="auto"/>
              <w:left w:val="single" w:sz="4" w:space="0" w:color="auto"/>
              <w:bottom w:val="single" w:sz="4" w:space="0" w:color="auto"/>
              <w:right w:val="single" w:sz="4" w:space="0" w:color="auto"/>
            </w:tcBorders>
            <w:noWrap/>
            <w:vAlign w:val="bottom"/>
          </w:tcPr>
          <w:p w:rsidR="00AE7D50" w:rsidRPr="00AD151D" w:rsidRDefault="00AE7D50">
            <w:pPr>
              <w:rPr>
                <w:b/>
                <w:bCs/>
                <w:sz w:val="16"/>
                <w:szCs w:val="16"/>
              </w:rPr>
            </w:pPr>
            <w:r w:rsidRPr="00AD151D">
              <w:rPr>
                <w:b/>
                <w:bCs/>
                <w:sz w:val="16"/>
                <w:szCs w:val="16"/>
              </w:rPr>
              <w:t>LA Basin</w:t>
            </w:r>
          </w:p>
        </w:tc>
        <w:tc>
          <w:tcPr>
            <w:tcW w:w="982" w:type="dxa"/>
            <w:tcBorders>
              <w:top w:val="single" w:sz="4" w:space="0" w:color="auto"/>
              <w:left w:val="nil"/>
              <w:bottom w:val="single" w:sz="4" w:space="0" w:color="auto"/>
              <w:right w:val="single" w:sz="4" w:space="0" w:color="auto"/>
            </w:tcBorders>
            <w:noWrap/>
            <w:vAlign w:val="bottom"/>
          </w:tcPr>
          <w:p w:rsidR="00AE7D50" w:rsidRPr="00AD151D" w:rsidRDefault="00AE7D50" w:rsidP="000D7850">
            <w:pPr>
              <w:jc w:val="center"/>
              <w:rPr>
                <w:sz w:val="16"/>
                <w:szCs w:val="16"/>
              </w:rPr>
            </w:pPr>
            <w:r w:rsidRPr="00AD151D">
              <w:rPr>
                <w:sz w:val="16"/>
                <w:szCs w:val="16"/>
              </w:rPr>
              <w:t>10,589</w:t>
            </w:r>
          </w:p>
        </w:tc>
        <w:tc>
          <w:tcPr>
            <w:tcW w:w="1121" w:type="dxa"/>
            <w:tcBorders>
              <w:top w:val="single" w:sz="4" w:space="0" w:color="auto"/>
              <w:left w:val="nil"/>
              <w:bottom w:val="single" w:sz="4" w:space="0" w:color="auto"/>
              <w:right w:val="single" w:sz="4" w:space="0" w:color="auto"/>
            </w:tcBorders>
            <w:noWrap/>
            <w:vAlign w:val="bottom"/>
          </w:tcPr>
          <w:p w:rsidR="00AE7D50" w:rsidRPr="00AD151D" w:rsidRDefault="00AE7D50" w:rsidP="000D7850">
            <w:pPr>
              <w:jc w:val="center"/>
              <w:rPr>
                <w:sz w:val="16"/>
                <w:szCs w:val="16"/>
              </w:rPr>
            </w:pPr>
            <w:r w:rsidRPr="00AD151D">
              <w:rPr>
                <w:sz w:val="16"/>
                <w:szCs w:val="16"/>
              </w:rPr>
              <w:t>9,493</w:t>
            </w:r>
          </w:p>
        </w:tc>
        <w:tc>
          <w:tcPr>
            <w:tcW w:w="1579" w:type="dxa"/>
            <w:tcBorders>
              <w:top w:val="single" w:sz="4" w:space="0" w:color="auto"/>
              <w:left w:val="nil"/>
              <w:bottom w:val="single" w:sz="4" w:space="0" w:color="auto"/>
              <w:right w:val="single" w:sz="4" w:space="0" w:color="auto"/>
            </w:tcBorders>
            <w:noWrap/>
            <w:vAlign w:val="center"/>
          </w:tcPr>
          <w:p w:rsidR="00AE7D50" w:rsidRPr="00AD151D" w:rsidRDefault="00AE7D50" w:rsidP="000D7850">
            <w:pPr>
              <w:jc w:val="center"/>
              <w:rPr>
                <w:sz w:val="16"/>
                <w:szCs w:val="16"/>
              </w:rPr>
            </w:pPr>
            <w:r w:rsidRPr="00AD151D">
              <w:rPr>
                <w:sz w:val="16"/>
                <w:szCs w:val="16"/>
              </w:rPr>
              <w:t>8,473</w:t>
            </w:r>
          </w:p>
        </w:tc>
        <w:tc>
          <w:tcPr>
            <w:tcW w:w="1080" w:type="dxa"/>
            <w:tcBorders>
              <w:top w:val="single" w:sz="4" w:space="0" w:color="auto"/>
              <w:left w:val="nil"/>
              <w:bottom w:val="single" w:sz="4" w:space="0" w:color="auto"/>
              <w:right w:val="single" w:sz="4" w:space="0" w:color="auto"/>
            </w:tcBorders>
            <w:noWrap/>
            <w:vAlign w:val="center"/>
          </w:tcPr>
          <w:p w:rsidR="00AE7D50" w:rsidRPr="00AD151D" w:rsidRDefault="00AE7D50" w:rsidP="000D7850">
            <w:pPr>
              <w:jc w:val="center"/>
              <w:rPr>
                <w:sz w:val="16"/>
                <w:szCs w:val="16"/>
              </w:rPr>
            </w:pPr>
            <w:r w:rsidRPr="00AD151D">
              <w:rPr>
                <w:sz w:val="16"/>
                <w:szCs w:val="16"/>
              </w:rPr>
              <w:t>1,688</w:t>
            </w:r>
          </w:p>
        </w:tc>
        <w:tc>
          <w:tcPr>
            <w:tcW w:w="1824" w:type="dxa"/>
            <w:tcBorders>
              <w:top w:val="single" w:sz="4" w:space="0" w:color="auto"/>
              <w:left w:val="nil"/>
              <w:bottom w:val="single" w:sz="4" w:space="0" w:color="auto"/>
              <w:right w:val="single" w:sz="4" w:space="0" w:color="auto"/>
            </w:tcBorders>
            <w:noWrap/>
            <w:vAlign w:val="bottom"/>
          </w:tcPr>
          <w:p w:rsidR="00AE7D50" w:rsidRPr="00AD151D" w:rsidRDefault="00AE7D50" w:rsidP="000D7850">
            <w:pPr>
              <w:jc w:val="center"/>
              <w:rPr>
                <w:sz w:val="16"/>
                <w:szCs w:val="16"/>
              </w:rPr>
            </w:pPr>
            <w:r w:rsidRPr="00AD151D">
              <w:rPr>
                <w:sz w:val="16"/>
                <w:szCs w:val="16"/>
              </w:rPr>
              <w:t>107%</w:t>
            </w:r>
          </w:p>
        </w:tc>
      </w:tr>
      <w:tr w:rsidR="00AE7D50" w:rsidRPr="00AD151D" w:rsidTr="00E76442">
        <w:trPr>
          <w:trHeight w:val="173"/>
        </w:trPr>
        <w:tc>
          <w:tcPr>
            <w:tcW w:w="1908" w:type="dxa"/>
            <w:tcBorders>
              <w:top w:val="nil"/>
              <w:left w:val="single" w:sz="4" w:space="0" w:color="auto"/>
              <w:bottom w:val="single" w:sz="4" w:space="0" w:color="auto"/>
              <w:right w:val="single" w:sz="4" w:space="0" w:color="auto"/>
            </w:tcBorders>
            <w:noWrap/>
            <w:vAlign w:val="bottom"/>
          </w:tcPr>
          <w:p w:rsidR="00AE7D50" w:rsidRPr="00AD151D" w:rsidRDefault="00AE7D50">
            <w:pPr>
              <w:rPr>
                <w:b/>
                <w:bCs/>
                <w:sz w:val="16"/>
                <w:szCs w:val="16"/>
              </w:rPr>
            </w:pPr>
            <w:r w:rsidRPr="00AD151D">
              <w:rPr>
                <w:b/>
                <w:bCs/>
                <w:sz w:val="16"/>
                <w:szCs w:val="16"/>
              </w:rPr>
              <w:t>Big Creek/Ventura</w:t>
            </w:r>
          </w:p>
        </w:tc>
        <w:tc>
          <w:tcPr>
            <w:tcW w:w="982" w:type="dxa"/>
            <w:tcBorders>
              <w:top w:val="nil"/>
              <w:left w:val="nil"/>
              <w:bottom w:val="single" w:sz="4" w:space="0" w:color="auto"/>
              <w:right w:val="single" w:sz="4" w:space="0" w:color="auto"/>
            </w:tcBorders>
            <w:noWrap/>
            <w:vAlign w:val="bottom"/>
          </w:tcPr>
          <w:p w:rsidR="00AE7D50" w:rsidRPr="00AD151D" w:rsidRDefault="00AE7D50" w:rsidP="000D7850">
            <w:pPr>
              <w:jc w:val="center"/>
              <w:rPr>
                <w:sz w:val="16"/>
                <w:szCs w:val="16"/>
              </w:rPr>
            </w:pPr>
            <w:r w:rsidRPr="00AD151D">
              <w:rPr>
                <w:sz w:val="16"/>
                <w:szCs w:val="16"/>
              </w:rPr>
              <w:t>2,786</w:t>
            </w:r>
          </w:p>
        </w:tc>
        <w:tc>
          <w:tcPr>
            <w:tcW w:w="1121" w:type="dxa"/>
            <w:tcBorders>
              <w:top w:val="nil"/>
              <w:left w:val="nil"/>
              <w:bottom w:val="single" w:sz="4" w:space="0" w:color="auto"/>
              <w:right w:val="single" w:sz="4" w:space="0" w:color="auto"/>
            </w:tcBorders>
            <w:noWrap/>
            <w:vAlign w:val="bottom"/>
          </w:tcPr>
          <w:p w:rsidR="00AE7D50" w:rsidRPr="00AD151D" w:rsidRDefault="00AE7D50" w:rsidP="000D7850">
            <w:pPr>
              <w:jc w:val="center"/>
              <w:rPr>
                <w:sz w:val="16"/>
                <w:szCs w:val="16"/>
              </w:rPr>
            </w:pPr>
            <w:r w:rsidRPr="00AD151D">
              <w:rPr>
                <w:sz w:val="16"/>
                <w:szCs w:val="16"/>
              </w:rPr>
              <w:t>2,498</w:t>
            </w:r>
          </w:p>
        </w:tc>
        <w:tc>
          <w:tcPr>
            <w:tcW w:w="1579" w:type="dxa"/>
            <w:tcBorders>
              <w:top w:val="nil"/>
              <w:left w:val="nil"/>
              <w:bottom w:val="single" w:sz="4" w:space="0" w:color="auto"/>
              <w:right w:val="single" w:sz="4" w:space="0" w:color="auto"/>
            </w:tcBorders>
            <w:noWrap/>
            <w:vAlign w:val="center"/>
          </w:tcPr>
          <w:p w:rsidR="00AE7D50" w:rsidRPr="00AD151D" w:rsidRDefault="00AE7D50" w:rsidP="000D7850">
            <w:pPr>
              <w:jc w:val="center"/>
              <w:rPr>
                <w:sz w:val="16"/>
                <w:szCs w:val="16"/>
              </w:rPr>
            </w:pPr>
            <w:r w:rsidRPr="00AD151D">
              <w:rPr>
                <w:sz w:val="16"/>
                <w:szCs w:val="16"/>
              </w:rPr>
              <w:t>2,316</w:t>
            </w:r>
          </w:p>
        </w:tc>
        <w:tc>
          <w:tcPr>
            <w:tcW w:w="1080" w:type="dxa"/>
            <w:tcBorders>
              <w:top w:val="nil"/>
              <w:left w:val="nil"/>
              <w:bottom w:val="single" w:sz="4" w:space="0" w:color="auto"/>
              <w:right w:val="single" w:sz="4" w:space="0" w:color="auto"/>
            </w:tcBorders>
            <w:noWrap/>
            <w:vAlign w:val="center"/>
          </w:tcPr>
          <w:p w:rsidR="00AE7D50" w:rsidRPr="00AD151D" w:rsidRDefault="00AE7D50" w:rsidP="000D7850">
            <w:pPr>
              <w:jc w:val="center"/>
              <w:rPr>
                <w:sz w:val="16"/>
                <w:szCs w:val="16"/>
              </w:rPr>
            </w:pPr>
            <w:r w:rsidRPr="00AD151D">
              <w:rPr>
                <w:sz w:val="16"/>
                <w:szCs w:val="16"/>
              </w:rPr>
              <w:t>243</w:t>
            </w:r>
          </w:p>
        </w:tc>
        <w:tc>
          <w:tcPr>
            <w:tcW w:w="1824" w:type="dxa"/>
            <w:tcBorders>
              <w:top w:val="nil"/>
              <w:left w:val="nil"/>
              <w:bottom w:val="single" w:sz="4" w:space="0" w:color="auto"/>
              <w:right w:val="single" w:sz="4" w:space="0" w:color="auto"/>
            </w:tcBorders>
            <w:noWrap/>
            <w:vAlign w:val="bottom"/>
          </w:tcPr>
          <w:p w:rsidR="00AE7D50" w:rsidRPr="00AD151D" w:rsidRDefault="00AE7D50" w:rsidP="000D7850">
            <w:pPr>
              <w:jc w:val="center"/>
              <w:rPr>
                <w:sz w:val="16"/>
                <w:szCs w:val="16"/>
              </w:rPr>
            </w:pPr>
            <w:r w:rsidRPr="00AD151D">
              <w:rPr>
                <w:sz w:val="16"/>
                <w:szCs w:val="16"/>
              </w:rPr>
              <w:t>102%</w:t>
            </w:r>
          </w:p>
        </w:tc>
      </w:tr>
      <w:tr w:rsidR="00AE7D50" w:rsidRPr="00AD151D" w:rsidTr="00E76442">
        <w:trPr>
          <w:trHeight w:val="173"/>
        </w:trPr>
        <w:tc>
          <w:tcPr>
            <w:tcW w:w="1908" w:type="dxa"/>
            <w:tcBorders>
              <w:top w:val="nil"/>
              <w:left w:val="single" w:sz="4" w:space="0" w:color="auto"/>
              <w:bottom w:val="single" w:sz="4" w:space="0" w:color="auto"/>
              <w:right w:val="single" w:sz="4" w:space="0" w:color="auto"/>
            </w:tcBorders>
            <w:noWrap/>
            <w:vAlign w:val="bottom"/>
          </w:tcPr>
          <w:p w:rsidR="00AE7D50" w:rsidRPr="00AD151D" w:rsidRDefault="00AE7D50">
            <w:pPr>
              <w:rPr>
                <w:b/>
                <w:bCs/>
                <w:sz w:val="16"/>
                <w:szCs w:val="16"/>
              </w:rPr>
            </w:pPr>
            <w:r w:rsidRPr="00AD151D">
              <w:rPr>
                <w:b/>
                <w:bCs/>
                <w:sz w:val="16"/>
                <w:szCs w:val="16"/>
              </w:rPr>
              <w:t>San Diego</w:t>
            </w:r>
          </w:p>
        </w:tc>
        <w:tc>
          <w:tcPr>
            <w:tcW w:w="982" w:type="dxa"/>
            <w:tcBorders>
              <w:top w:val="nil"/>
              <w:left w:val="nil"/>
              <w:bottom w:val="single" w:sz="4" w:space="0" w:color="auto"/>
              <w:right w:val="single" w:sz="4" w:space="0" w:color="auto"/>
            </w:tcBorders>
            <w:noWrap/>
            <w:vAlign w:val="bottom"/>
          </w:tcPr>
          <w:p w:rsidR="00AE7D50" w:rsidRPr="00AD151D" w:rsidRDefault="00AE7D50" w:rsidP="000D7850">
            <w:pPr>
              <w:jc w:val="center"/>
              <w:rPr>
                <w:sz w:val="16"/>
                <w:szCs w:val="16"/>
              </w:rPr>
            </w:pPr>
            <w:r w:rsidRPr="00AD151D">
              <w:rPr>
                <w:sz w:val="16"/>
                <w:szCs w:val="16"/>
              </w:rPr>
              <w:t>3,146</w:t>
            </w:r>
          </w:p>
        </w:tc>
        <w:tc>
          <w:tcPr>
            <w:tcW w:w="1121" w:type="dxa"/>
            <w:tcBorders>
              <w:top w:val="nil"/>
              <w:left w:val="nil"/>
              <w:bottom w:val="single" w:sz="4" w:space="0" w:color="auto"/>
              <w:right w:val="single" w:sz="4" w:space="0" w:color="auto"/>
            </w:tcBorders>
            <w:noWrap/>
            <w:vAlign w:val="bottom"/>
          </w:tcPr>
          <w:p w:rsidR="00AE7D50" w:rsidRPr="00AD151D" w:rsidRDefault="00AE7D50" w:rsidP="000D7850">
            <w:pPr>
              <w:jc w:val="center"/>
              <w:rPr>
                <w:sz w:val="16"/>
                <w:szCs w:val="16"/>
              </w:rPr>
            </w:pPr>
            <w:r w:rsidRPr="00AD151D">
              <w:rPr>
                <w:sz w:val="16"/>
                <w:szCs w:val="16"/>
              </w:rPr>
              <w:t>3,146</w:t>
            </w:r>
          </w:p>
        </w:tc>
        <w:tc>
          <w:tcPr>
            <w:tcW w:w="1579" w:type="dxa"/>
            <w:tcBorders>
              <w:top w:val="nil"/>
              <w:left w:val="nil"/>
              <w:bottom w:val="single" w:sz="4" w:space="0" w:color="auto"/>
              <w:right w:val="single" w:sz="4" w:space="0" w:color="auto"/>
            </w:tcBorders>
            <w:noWrap/>
            <w:vAlign w:val="center"/>
          </w:tcPr>
          <w:p w:rsidR="00AE7D50" w:rsidRPr="00AD151D" w:rsidRDefault="00AE7D50" w:rsidP="000D7850">
            <w:pPr>
              <w:jc w:val="center"/>
              <w:rPr>
                <w:sz w:val="16"/>
                <w:szCs w:val="16"/>
              </w:rPr>
            </w:pPr>
            <w:r w:rsidRPr="00AD151D">
              <w:rPr>
                <w:sz w:val="16"/>
                <w:szCs w:val="16"/>
              </w:rPr>
              <w:t>3,037</w:t>
            </w:r>
          </w:p>
        </w:tc>
        <w:tc>
          <w:tcPr>
            <w:tcW w:w="1080" w:type="dxa"/>
            <w:tcBorders>
              <w:top w:val="nil"/>
              <w:left w:val="nil"/>
              <w:bottom w:val="single" w:sz="4" w:space="0" w:color="auto"/>
              <w:right w:val="single" w:sz="4" w:space="0" w:color="auto"/>
            </w:tcBorders>
            <w:noWrap/>
            <w:vAlign w:val="center"/>
          </w:tcPr>
          <w:p w:rsidR="00AE7D50" w:rsidRPr="00AD151D" w:rsidRDefault="00AE7D50" w:rsidP="000D7850">
            <w:pPr>
              <w:jc w:val="center"/>
              <w:rPr>
                <w:sz w:val="16"/>
                <w:szCs w:val="16"/>
              </w:rPr>
            </w:pPr>
            <w:r w:rsidRPr="00AD151D">
              <w:rPr>
                <w:sz w:val="16"/>
                <w:szCs w:val="16"/>
              </w:rPr>
              <w:t>210</w:t>
            </w:r>
          </w:p>
        </w:tc>
        <w:tc>
          <w:tcPr>
            <w:tcW w:w="1824" w:type="dxa"/>
            <w:tcBorders>
              <w:top w:val="nil"/>
              <w:left w:val="nil"/>
              <w:bottom w:val="single" w:sz="4" w:space="0" w:color="auto"/>
              <w:right w:val="single" w:sz="4" w:space="0" w:color="auto"/>
            </w:tcBorders>
            <w:noWrap/>
            <w:vAlign w:val="bottom"/>
          </w:tcPr>
          <w:p w:rsidR="00AE7D50" w:rsidRPr="00AD151D" w:rsidRDefault="00AE7D50" w:rsidP="000D7850">
            <w:pPr>
              <w:jc w:val="center"/>
              <w:rPr>
                <w:sz w:val="16"/>
                <w:szCs w:val="16"/>
              </w:rPr>
            </w:pPr>
            <w:r w:rsidRPr="00AD151D">
              <w:rPr>
                <w:sz w:val="16"/>
                <w:szCs w:val="16"/>
              </w:rPr>
              <w:t>103%</w:t>
            </w:r>
          </w:p>
        </w:tc>
      </w:tr>
      <w:tr w:rsidR="00AE7D50" w:rsidRPr="00AD151D" w:rsidTr="00E76442">
        <w:trPr>
          <w:trHeight w:val="173"/>
        </w:trPr>
        <w:tc>
          <w:tcPr>
            <w:tcW w:w="1908" w:type="dxa"/>
            <w:tcBorders>
              <w:top w:val="nil"/>
              <w:left w:val="single" w:sz="4" w:space="0" w:color="auto"/>
              <w:bottom w:val="single" w:sz="4" w:space="0" w:color="auto"/>
              <w:right w:val="single" w:sz="4" w:space="0" w:color="auto"/>
            </w:tcBorders>
            <w:noWrap/>
            <w:vAlign w:val="bottom"/>
          </w:tcPr>
          <w:p w:rsidR="00AE7D50" w:rsidRPr="00AD151D" w:rsidRDefault="00AE7D50">
            <w:pPr>
              <w:rPr>
                <w:b/>
                <w:bCs/>
                <w:sz w:val="16"/>
                <w:szCs w:val="16"/>
              </w:rPr>
            </w:pPr>
            <w:r w:rsidRPr="00AD151D">
              <w:rPr>
                <w:b/>
                <w:bCs/>
                <w:sz w:val="16"/>
                <w:szCs w:val="16"/>
              </w:rPr>
              <w:t>Greater Bay Area</w:t>
            </w:r>
          </w:p>
        </w:tc>
        <w:tc>
          <w:tcPr>
            <w:tcW w:w="982" w:type="dxa"/>
            <w:tcBorders>
              <w:top w:val="nil"/>
              <w:left w:val="nil"/>
              <w:bottom w:val="single" w:sz="4" w:space="0" w:color="auto"/>
              <w:right w:val="single" w:sz="4" w:space="0" w:color="auto"/>
            </w:tcBorders>
            <w:noWrap/>
            <w:vAlign w:val="bottom"/>
          </w:tcPr>
          <w:p w:rsidR="00AE7D50" w:rsidRPr="00AD151D" w:rsidRDefault="00AE7D50" w:rsidP="000D7850">
            <w:pPr>
              <w:jc w:val="center"/>
              <w:rPr>
                <w:sz w:val="16"/>
                <w:szCs w:val="16"/>
              </w:rPr>
            </w:pPr>
            <w:r w:rsidRPr="00AD151D">
              <w:rPr>
                <w:sz w:val="16"/>
                <w:szCs w:val="16"/>
              </w:rPr>
              <w:t>4,804</w:t>
            </w:r>
          </w:p>
        </w:tc>
        <w:tc>
          <w:tcPr>
            <w:tcW w:w="1121" w:type="dxa"/>
            <w:tcBorders>
              <w:top w:val="nil"/>
              <w:left w:val="nil"/>
              <w:bottom w:val="single" w:sz="4" w:space="0" w:color="auto"/>
              <w:right w:val="single" w:sz="4" w:space="0" w:color="auto"/>
            </w:tcBorders>
            <w:noWrap/>
            <w:vAlign w:val="bottom"/>
          </w:tcPr>
          <w:p w:rsidR="00AE7D50" w:rsidRPr="00AD151D" w:rsidRDefault="00AE7D50" w:rsidP="000D7850">
            <w:pPr>
              <w:jc w:val="center"/>
              <w:rPr>
                <w:sz w:val="16"/>
                <w:szCs w:val="16"/>
              </w:rPr>
            </w:pPr>
            <w:r w:rsidRPr="00AD151D">
              <w:rPr>
                <w:sz w:val="16"/>
                <w:szCs w:val="16"/>
              </w:rPr>
              <w:t>4,437</w:t>
            </w:r>
          </w:p>
        </w:tc>
        <w:tc>
          <w:tcPr>
            <w:tcW w:w="1579" w:type="dxa"/>
            <w:tcBorders>
              <w:top w:val="nil"/>
              <w:left w:val="nil"/>
              <w:bottom w:val="single" w:sz="4" w:space="0" w:color="auto"/>
              <w:right w:val="single" w:sz="4" w:space="0" w:color="auto"/>
            </w:tcBorders>
            <w:noWrap/>
            <w:vAlign w:val="center"/>
          </w:tcPr>
          <w:p w:rsidR="00AE7D50" w:rsidRPr="00AD151D" w:rsidRDefault="00AE7D50" w:rsidP="000D7850">
            <w:pPr>
              <w:jc w:val="center"/>
              <w:rPr>
                <w:sz w:val="16"/>
                <w:szCs w:val="16"/>
              </w:rPr>
            </w:pPr>
            <w:r w:rsidRPr="00AD151D">
              <w:rPr>
                <w:sz w:val="16"/>
                <w:szCs w:val="16"/>
              </w:rPr>
              <w:t>5,391</w:t>
            </w:r>
          </w:p>
        </w:tc>
        <w:tc>
          <w:tcPr>
            <w:tcW w:w="1080" w:type="dxa"/>
            <w:tcBorders>
              <w:top w:val="nil"/>
              <w:left w:val="nil"/>
              <w:bottom w:val="single" w:sz="4" w:space="0" w:color="auto"/>
              <w:right w:val="single" w:sz="4" w:space="0" w:color="auto"/>
            </w:tcBorders>
            <w:noWrap/>
            <w:vAlign w:val="center"/>
          </w:tcPr>
          <w:p w:rsidR="00AE7D50" w:rsidRPr="00AD151D" w:rsidRDefault="00AE7D50" w:rsidP="000D7850">
            <w:pPr>
              <w:jc w:val="center"/>
              <w:rPr>
                <w:sz w:val="16"/>
                <w:szCs w:val="16"/>
              </w:rPr>
            </w:pPr>
            <w:r w:rsidRPr="00AD151D">
              <w:rPr>
                <w:sz w:val="16"/>
                <w:szCs w:val="16"/>
              </w:rPr>
              <w:t>357</w:t>
            </w:r>
          </w:p>
        </w:tc>
        <w:tc>
          <w:tcPr>
            <w:tcW w:w="1824" w:type="dxa"/>
            <w:tcBorders>
              <w:top w:val="nil"/>
              <w:left w:val="nil"/>
              <w:bottom w:val="single" w:sz="4" w:space="0" w:color="auto"/>
              <w:right w:val="single" w:sz="4" w:space="0" w:color="auto"/>
            </w:tcBorders>
            <w:noWrap/>
            <w:vAlign w:val="bottom"/>
          </w:tcPr>
          <w:p w:rsidR="00AE7D50" w:rsidRPr="00AD151D" w:rsidRDefault="00AE7D50" w:rsidP="000D7850">
            <w:pPr>
              <w:jc w:val="center"/>
              <w:rPr>
                <w:sz w:val="16"/>
                <w:szCs w:val="16"/>
              </w:rPr>
            </w:pPr>
            <w:r w:rsidRPr="00AD151D">
              <w:rPr>
                <w:sz w:val="16"/>
                <w:szCs w:val="16"/>
              </w:rPr>
              <w:t>130%</w:t>
            </w:r>
          </w:p>
        </w:tc>
      </w:tr>
      <w:tr w:rsidR="00AE7D50" w:rsidRPr="00AD151D" w:rsidTr="00E76442">
        <w:trPr>
          <w:trHeight w:val="173"/>
        </w:trPr>
        <w:tc>
          <w:tcPr>
            <w:tcW w:w="1908" w:type="dxa"/>
            <w:tcBorders>
              <w:top w:val="nil"/>
              <w:left w:val="single" w:sz="4" w:space="0" w:color="auto"/>
              <w:bottom w:val="single" w:sz="4" w:space="0" w:color="auto"/>
              <w:right w:val="single" w:sz="4" w:space="0" w:color="auto"/>
            </w:tcBorders>
            <w:noWrap/>
            <w:vAlign w:val="bottom"/>
          </w:tcPr>
          <w:p w:rsidR="00AE7D50" w:rsidRPr="00AD151D" w:rsidRDefault="00AE7D50">
            <w:pPr>
              <w:rPr>
                <w:b/>
                <w:bCs/>
                <w:sz w:val="16"/>
                <w:szCs w:val="16"/>
              </w:rPr>
            </w:pPr>
            <w:r w:rsidRPr="00AD151D">
              <w:rPr>
                <w:b/>
                <w:bCs/>
                <w:sz w:val="16"/>
                <w:szCs w:val="16"/>
              </w:rPr>
              <w:t>Other PG&amp;E Areas</w:t>
            </w:r>
          </w:p>
        </w:tc>
        <w:tc>
          <w:tcPr>
            <w:tcW w:w="982" w:type="dxa"/>
            <w:tcBorders>
              <w:top w:val="nil"/>
              <w:left w:val="nil"/>
              <w:bottom w:val="single" w:sz="4" w:space="0" w:color="auto"/>
              <w:right w:val="single" w:sz="4" w:space="0" w:color="auto"/>
            </w:tcBorders>
            <w:noWrap/>
            <w:vAlign w:val="bottom"/>
          </w:tcPr>
          <w:p w:rsidR="00AE7D50" w:rsidRPr="00AD151D" w:rsidRDefault="00AE7D50" w:rsidP="000D7850">
            <w:pPr>
              <w:jc w:val="center"/>
              <w:rPr>
                <w:sz w:val="16"/>
                <w:szCs w:val="16"/>
              </w:rPr>
            </w:pPr>
            <w:r w:rsidRPr="00AD151D">
              <w:rPr>
                <w:sz w:val="16"/>
                <w:szCs w:val="16"/>
              </w:rPr>
              <w:t>5,769</w:t>
            </w:r>
          </w:p>
        </w:tc>
        <w:tc>
          <w:tcPr>
            <w:tcW w:w="1121" w:type="dxa"/>
            <w:tcBorders>
              <w:top w:val="nil"/>
              <w:left w:val="nil"/>
              <w:bottom w:val="single" w:sz="4" w:space="0" w:color="auto"/>
              <w:right w:val="single" w:sz="4" w:space="0" w:color="auto"/>
            </w:tcBorders>
            <w:noWrap/>
            <w:vAlign w:val="bottom"/>
          </w:tcPr>
          <w:p w:rsidR="00AE7D50" w:rsidRPr="00AD151D" w:rsidRDefault="00AE7D50" w:rsidP="000D7850">
            <w:pPr>
              <w:jc w:val="center"/>
              <w:rPr>
                <w:sz w:val="16"/>
                <w:szCs w:val="16"/>
              </w:rPr>
            </w:pPr>
            <w:r w:rsidRPr="00AD151D">
              <w:rPr>
                <w:sz w:val="16"/>
                <w:szCs w:val="16"/>
              </w:rPr>
              <w:t>5,328</w:t>
            </w:r>
          </w:p>
        </w:tc>
        <w:tc>
          <w:tcPr>
            <w:tcW w:w="1579" w:type="dxa"/>
            <w:tcBorders>
              <w:top w:val="nil"/>
              <w:left w:val="nil"/>
              <w:bottom w:val="single" w:sz="4" w:space="0" w:color="auto"/>
              <w:right w:val="single" w:sz="4" w:space="0" w:color="auto"/>
            </w:tcBorders>
            <w:noWrap/>
            <w:vAlign w:val="center"/>
          </w:tcPr>
          <w:p w:rsidR="00AE7D50" w:rsidRPr="00AD151D" w:rsidRDefault="00AE7D50" w:rsidP="000D7850">
            <w:pPr>
              <w:jc w:val="center"/>
              <w:rPr>
                <w:sz w:val="16"/>
                <w:szCs w:val="16"/>
              </w:rPr>
            </w:pPr>
            <w:r w:rsidRPr="00AD151D">
              <w:rPr>
                <w:sz w:val="16"/>
                <w:szCs w:val="16"/>
              </w:rPr>
              <w:t>5,354</w:t>
            </w:r>
          </w:p>
        </w:tc>
        <w:tc>
          <w:tcPr>
            <w:tcW w:w="1080" w:type="dxa"/>
            <w:tcBorders>
              <w:top w:val="nil"/>
              <w:left w:val="nil"/>
              <w:bottom w:val="single" w:sz="4" w:space="0" w:color="auto"/>
              <w:right w:val="single" w:sz="4" w:space="0" w:color="auto"/>
            </w:tcBorders>
            <w:noWrap/>
            <w:vAlign w:val="center"/>
          </w:tcPr>
          <w:p w:rsidR="00AE7D50" w:rsidRPr="00AD151D" w:rsidRDefault="00AE7D50" w:rsidP="000D7850">
            <w:pPr>
              <w:jc w:val="center"/>
              <w:rPr>
                <w:sz w:val="16"/>
                <w:szCs w:val="16"/>
              </w:rPr>
            </w:pPr>
            <w:r w:rsidRPr="00AD151D">
              <w:rPr>
                <w:sz w:val="16"/>
                <w:szCs w:val="16"/>
              </w:rPr>
              <w:t>278</w:t>
            </w:r>
          </w:p>
        </w:tc>
        <w:tc>
          <w:tcPr>
            <w:tcW w:w="1824" w:type="dxa"/>
            <w:tcBorders>
              <w:top w:val="nil"/>
              <w:left w:val="nil"/>
              <w:bottom w:val="single" w:sz="4" w:space="0" w:color="auto"/>
              <w:right w:val="single" w:sz="4" w:space="0" w:color="auto"/>
            </w:tcBorders>
            <w:noWrap/>
            <w:vAlign w:val="bottom"/>
          </w:tcPr>
          <w:p w:rsidR="00AE7D50" w:rsidRPr="00AD151D" w:rsidRDefault="00AE7D50" w:rsidP="000D7850">
            <w:pPr>
              <w:jc w:val="center"/>
              <w:rPr>
                <w:sz w:val="16"/>
                <w:szCs w:val="16"/>
              </w:rPr>
            </w:pPr>
            <w:r w:rsidRPr="00AD151D">
              <w:rPr>
                <w:sz w:val="16"/>
                <w:szCs w:val="16"/>
              </w:rPr>
              <w:t>106%</w:t>
            </w:r>
          </w:p>
        </w:tc>
      </w:tr>
      <w:tr w:rsidR="00AE7D50" w:rsidRPr="00AD151D" w:rsidTr="00E76442">
        <w:trPr>
          <w:trHeight w:val="173"/>
        </w:trPr>
        <w:tc>
          <w:tcPr>
            <w:tcW w:w="1908" w:type="dxa"/>
            <w:tcBorders>
              <w:top w:val="nil"/>
              <w:left w:val="single" w:sz="4" w:space="0" w:color="auto"/>
              <w:bottom w:val="single" w:sz="4" w:space="0" w:color="auto"/>
              <w:right w:val="single" w:sz="4" w:space="0" w:color="auto"/>
            </w:tcBorders>
            <w:noWrap/>
            <w:vAlign w:val="bottom"/>
          </w:tcPr>
          <w:p w:rsidR="00AE7D50" w:rsidRPr="00AD151D" w:rsidRDefault="00AE7D50">
            <w:pPr>
              <w:rPr>
                <w:b/>
                <w:bCs/>
                <w:sz w:val="16"/>
                <w:szCs w:val="16"/>
              </w:rPr>
            </w:pPr>
            <w:r w:rsidRPr="00AD151D">
              <w:rPr>
                <w:b/>
                <w:bCs/>
                <w:sz w:val="16"/>
                <w:szCs w:val="16"/>
              </w:rPr>
              <w:t>Totals</w:t>
            </w:r>
          </w:p>
        </w:tc>
        <w:tc>
          <w:tcPr>
            <w:tcW w:w="982" w:type="dxa"/>
            <w:tcBorders>
              <w:top w:val="nil"/>
              <w:left w:val="nil"/>
              <w:bottom w:val="single" w:sz="4" w:space="0" w:color="auto"/>
              <w:right w:val="single" w:sz="4" w:space="0" w:color="auto"/>
            </w:tcBorders>
            <w:noWrap/>
            <w:vAlign w:val="center"/>
          </w:tcPr>
          <w:p w:rsidR="00AE7D50" w:rsidRPr="006C5D7A" w:rsidRDefault="00AE7D50" w:rsidP="000D7850">
            <w:pPr>
              <w:jc w:val="center"/>
              <w:rPr>
                <w:b/>
                <w:sz w:val="16"/>
                <w:szCs w:val="16"/>
              </w:rPr>
            </w:pPr>
            <w:r w:rsidRPr="006C5D7A">
              <w:rPr>
                <w:b/>
                <w:sz w:val="16"/>
                <w:szCs w:val="16"/>
              </w:rPr>
              <w:t>27,094</w:t>
            </w:r>
          </w:p>
        </w:tc>
        <w:tc>
          <w:tcPr>
            <w:tcW w:w="1121" w:type="dxa"/>
            <w:tcBorders>
              <w:top w:val="nil"/>
              <w:left w:val="nil"/>
              <w:bottom w:val="single" w:sz="4" w:space="0" w:color="auto"/>
              <w:right w:val="single" w:sz="4" w:space="0" w:color="auto"/>
            </w:tcBorders>
            <w:noWrap/>
            <w:vAlign w:val="center"/>
          </w:tcPr>
          <w:p w:rsidR="00AE7D50" w:rsidRPr="006C5D7A" w:rsidRDefault="00AE7D50" w:rsidP="000D7850">
            <w:pPr>
              <w:jc w:val="center"/>
              <w:rPr>
                <w:b/>
                <w:sz w:val="16"/>
                <w:szCs w:val="16"/>
              </w:rPr>
            </w:pPr>
            <w:r w:rsidRPr="006C5D7A">
              <w:rPr>
                <w:b/>
                <w:sz w:val="16"/>
                <w:szCs w:val="16"/>
              </w:rPr>
              <w:t>24,902</w:t>
            </w:r>
          </w:p>
        </w:tc>
        <w:tc>
          <w:tcPr>
            <w:tcW w:w="1579" w:type="dxa"/>
            <w:tcBorders>
              <w:top w:val="nil"/>
              <w:left w:val="nil"/>
              <w:bottom w:val="single" w:sz="4" w:space="0" w:color="auto"/>
              <w:right w:val="single" w:sz="4" w:space="0" w:color="auto"/>
            </w:tcBorders>
            <w:noWrap/>
            <w:vAlign w:val="center"/>
          </w:tcPr>
          <w:p w:rsidR="00AE7D50" w:rsidRPr="006C5D7A" w:rsidRDefault="00AE7D50" w:rsidP="000D7850">
            <w:pPr>
              <w:jc w:val="center"/>
              <w:rPr>
                <w:b/>
                <w:sz w:val="16"/>
                <w:szCs w:val="16"/>
              </w:rPr>
            </w:pPr>
            <w:r w:rsidRPr="006C5D7A">
              <w:rPr>
                <w:b/>
                <w:sz w:val="16"/>
                <w:szCs w:val="16"/>
              </w:rPr>
              <w:t>24,571</w:t>
            </w:r>
          </w:p>
        </w:tc>
        <w:tc>
          <w:tcPr>
            <w:tcW w:w="1080" w:type="dxa"/>
            <w:tcBorders>
              <w:top w:val="nil"/>
              <w:left w:val="nil"/>
              <w:bottom w:val="single" w:sz="4" w:space="0" w:color="auto"/>
              <w:right w:val="single" w:sz="4" w:space="0" w:color="auto"/>
            </w:tcBorders>
            <w:noWrap/>
            <w:vAlign w:val="bottom"/>
          </w:tcPr>
          <w:p w:rsidR="00AE7D50" w:rsidRPr="006C5D7A" w:rsidRDefault="00AE7D50" w:rsidP="000D7850">
            <w:pPr>
              <w:jc w:val="center"/>
              <w:rPr>
                <w:b/>
                <w:sz w:val="16"/>
                <w:szCs w:val="16"/>
              </w:rPr>
            </w:pPr>
            <w:r w:rsidRPr="006C5D7A">
              <w:rPr>
                <w:b/>
                <w:sz w:val="16"/>
                <w:szCs w:val="16"/>
              </w:rPr>
              <w:t>2,278</w:t>
            </w:r>
          </w:p>
        </w:tc>
        <w:tc>
          <w:tcPr>
            <w:tcW w:w="1824" w:type="dxa"/>
            <w:tcBorders>
              <w:top w:val="nil"/>
              <w:left w:val="nil"/>
              <w:bottom w:val="single" w:sz="4" w:space="0" w:color="auto"/>
              <w:right w:val="single" w:sz="4" w:space="0" w:color="auto"/>
            </w:tcBorders>
            <w:noWrap/>
            <w:vAlign w:val="bottom"/>
          </w:tcPr>
          <w:p w:rsidR="00AE7D50" w:rsidRPr="006C5D7A" w:rsidRDefault="00AE7D50" w:rsidP="001B7740">
            <w:pPr>
              <w:jc w:val="center"/>
              <w:rPr>
                <w:b/>
                <w:sz w:val="16"/>
                <w:szCs w:val="16"/>
              </w:rPr>
            </w:pPr>
            <w:r w:rsidRPr="006C5D7A">
              <w:rPr>
                <w:b/>
                <w:sz w:val="16"/>
                <w:szCs w:val="16"/>
              </w:rPr>
              <w:t>1</w:t>
            </w:r>
            <w:r w:rsidR="001B7740" w:rsidRPr="006C5D7A">
              <w:rPr>
                <w:b/>
                <w:sz w:val="16"/>
                <w:szCs w:val="16"/>
              </w:rPr>
              <w:t>1</w:t>
            </w:r>
            <w:r w:rsidRPr="006C5D7A">
              <w:rPr>
                <w:b/>
                <w:sz w:val="16"/>
                <w:szCs w:val="16"/>
              </w:rPr>
              <w:t>0%</w:t>
            </w:r>
          </w:p>
        </w:tc>
      </w:tr>
    </w:tbl>
    <w:p w:rsidR="00AE7D50" w:rsidRPr="00AD151D" w:rsidRDefault="00AE7D50">
      <w:pPr>
        <w:pStyle w:val="sub1"/>
        <w:keepNext/>
        <w:keepLines/>
        <w:spacing w:before="120"/>
        <w:ind w:firstLine="0"/>
        <w:rPr>
          <w:rFonts w:ascii="Times New Roman" w:hAnsi="Times New Roman"/>
          <w:sz w:val="18"/>
          <w:szCs w:val="18"/>
        </w:rPr>
      </w:pPr>
      <w:r w:rsidRPr="00AD151D">
        <w:rPr>
          <w:rFonts w:ascii="Times New Roman" w:hAnsi="Times New Roman"/>
          <w:sz w:val="18"/>
          <w:szCs w:val="18"/>
        </w:rPr>
        <w:t>Source: Aggregated 2011 Local RA filings</w:t>
      </w:r>
    </w:p>
    <w:p w:rsidR="00AE7D50" w:rsidRPr="00AD151D" w:rsidRDefault="00AE7D50">
      <w:pPr>
        <w:pStyle w:val="Heading3"/>
        <w:numPr>
          <w:ilvl w:val="2"/>
          <w:numId w:val="18"/>
        </w:numPr>
      </w:pPr>
      <w:bookmarkStart w:id="56" w:name="_Toc347827049"/>
      <w:r w:rsidRPr="00AD151D">
        <w:t>Local RA True-ups</w:t>
      </w:r>
      <w:bookmarkEnd w:id="56"/>
    </w:p>
    <w:p w:rsidR="00AE7D50" w:rsidRDefault="00AE7D50" w:rsidP="00D76C00">
      <w:pPr>
        <w:ind w:firstLine="720"/>
      </w:pPr>
      <w:r w:rsidRPr="00AD151D">
        <w:t xml:space="preserve">Beginning with the 2010 reopening of direct access </w:t>
      </w:r>
      <w:r w:rsidR="001B7740">
        <w:t>t</w:t>
      </w:r>
      <w:r w:rsidRPr="00AD151D">
        <w:t>he Commission adopt</w:t>
      </w:r>
      <w:r w:rsidR="001B7740">
        <w:t>ed</w:t>
      </w:r>
      <w:r w:rsidRPr="00AD151D">
        <w:t xml:space="preserve"> a true up mechanism early in 2010 in the Direct Access decision D.10-03-022 to ensure that all service providers were subject to the same RA treatment.  </w:t>
      </w:r>
    </w:p>
    <w:p w:rsidR="001B7740" w:rsidRPr="00AD151D" w:rsidRDefault="001B7740" w:rsidP="00D76C00">
      <w:pPr>
        <w:ind w:firstLine="720"/>
      </w:pPr>
    </w:p>
    <w:p w:rsidR="001B7740" w:rsidRDefault="00AE7D50" w:rsidP="00D76C00">
      <w:pPr>
        <w:ind w:firstLine="576"/>
      </w:pPr>
      <w:r w:rsidRPr="00AD151D">
        <w:t xml:space="preserve">During 2010 Energy Division and CEC staff </w:t>
      </w:r>
      <w:r w:rsidR="001B7740">
        <w:t>helped</w:t>
      </w:r>
      <w:r w:rsidRPr="00AD151D">
        <w:t xml:space="preserve"> LSEs participate in the Local RA True up process in order to complete the 2010 RA compliance year successfully. Nevertheless, </w:t>
      </w:r>
      <w:r w:rsidRPr="00AD151D">
        <w:rPr>
          <w:rStyle w:val="Strong"/>
          <w:b w:val="0"/>
        </w:rPr>
        <w:t>staff found the Local true-up process time consuming for all parties</w:t>
      </w:r>
      <w:r w:rsidR="001B7740">
        <w:rPr>
          <w:rStyle w:val="Strong"/>
          <w:b w:val="0"/>
        </w:rPr>
        <w:t xml:space="preserve"> resulting in</w:t>
      </w:r>
      <w:r w:rsidR="001B7740">
        <w:t xml:space="preserve"> lessons </w:t>
      </w:r>
      <w:r w:rsidRPr="00AD151D">
        <w:t>learned in 2010 that informed the final adopted process for 2011.</w:t>
      </w:r>
    </w:p>
    <w:p w:rsidR="00AE7D50" w:rsidRPr="00AD151D" w:rsidRDefault="00AE7D50" w:rsidP="00D76C00">
      <w:pPr>
        <w:ind w:firstLine="576"/>
      </w:pPr>
      <w:r w:rsidRPr="00AD151D">
        <w:t xml:space="preserve">  </w:t>
      </w:r>
    </w:p>
    <w:p w:rsidR="00AE7D50" w:rsidRDefault="00AE7D50" w:rsidP="00D76C00">
      <w:pPr>
        <w:ind w:firstLine="576"/>
      </w:pPr>
      <w:r w:rsidRPr="00AD151D">
        <w:t xml:space="preserve">Energy Division worked with LSEs and the ALJ to develop an alternative reallocation approach for 2011 compliance year, and the Commission adopted D.10-12-038 at the end of 2010 which replaces the local true-up process adopted in D.10-03-022.  </w:t>
      </w:r>
    </w:p>
    <w:p w:rsidR="001B7740" w:rsidRPr="00AD151D" w:rsidRDefault="001B7740" w:rsidP="00D76C00">
      <w:pPr>
        <w:ind w:firstLine="576"/>
      </w:pPr>
    </w:p>
    <w:p w:rsidR="00AE7D50" w:rsidRDefault="00AE7D50" w:rsidP="00650937">
      <w:pPr>
        <w:ind w:firstLine="576"/>
      </w:pPr>
      <w:r w:rsidRPr="00AD151D">
        <w:t xml:space="preserve">The </w:t>
      </w:r>
      <w:r w:rsidR="001B7740">
        <w:t xml:space="preserve">new </w:t>
      </w:r>
      <w:r w:rsidRPr="00AD151D">
        <w:t>local true up process requires LSEs to file revised load forecasts</w:t>
      </w:r>
      <w:r w:rsidR="001B7740">
        <w:t xml:space="preserve"> for August’s peak load </w:t>
      </w:r>
      <w:r w:rsidRPr="00AD151D">
        <w:t xml:space="preserve">twice </w:t>
      </w:r>
      <w:r w:rsidR="001B7740">
        <w:t>during the year</w:t>
      </w:r>
      <w:r w:rsidRPr="00AD151D">
        <w:t xml:space="preserve">.  The CEC uses these revised August </w:t>
      </w:r>
      <w:r w:rsidR="001B7740">
        <w:t xml:space="preserve">load </w:t>
      </w:r>
      <w:r w:rsidRPr="00AD151D">
        <w:t xml:space="preserve">forecasts to update each LSE’s load share which is used to </w:t>
      </w:r>
      <w:r w:rsidR="00B414BC" w:rsidRPr="00AD151D">
        <w:t>reallocate</w:t>
      </w:r>
      <w:r w:rsidRPr="00AD151D">
        <w:t xml:space="preserve"> the adopted local capacity requirements.  The difference between the original allocations and the reallocations </w:t>
      </w:r>
      <w:r w:rsidR="007B7AE5">
        <w:t>gets</w:t>
      </w:r>
      <w:r w:rsidRPr="00AD151D">
        <w:t xml:space="preserve"> distributed to LSEs as the incremental Local requirement </w:t>
      </w:r>
      <w:r w:rsidR="007B7AE5">
        <w:t xml:space="preserve"> for their</w:t>
      </w:r>
      <w:r w:rsidRPr="00AD151D">
        <w:t xml:space="preserve"> req</w:t>
      </w:r>
      <w:r w:rsidR="00863E5C" w:rsidRPr="00AD151D">
        <w:t xml:space="preserve">uired </w:t>
      </w:r>
      <w:r w:rsidR="007B7AE5">
        <w:t>monthly filing</w:t>
      </w:r>
      <w:r w:rsidR="00863E5C" w:rsidRPr="00AD151D">
        <w:t xml:space="preserve">. </w:t>
      </w:r>
    </w:p>
    <w:p w:rsidR="00186273" w:rsidRPr="00AD151D" w:rsidRDefault="00186273" w:rsidP="00650937">
      <w:pPr>
        <w:ind w:firstLine="576"/>
      </w:pPr>
    </w:p>
    <w:p w:rsidR="00AE7D50" w:rsidRPr="00AD151D" w:rsidRDefault="00AE7D50">
      <w:pPr>
        <w:ind w:firstLine="720"/>
      </w:pPr>
      <w:r w:rsidRPr="00AD151D">
        <w:t>LSEs submitted their first revised August forecast to the CEC on January 31</w:t>
      </w:r>
      <w:r w:rsidRPr="00AD151D">
        <w:rPr>
          <w:vertAlign w:val="superscript"/>
        </w:rPr>
        <w:t>st</w:t>
      </w:r>
      <w:r w:rsidRPr="00AD151D">
        <w:t xml:space="preserve"> along with their 60 day-ahead (April) load forecast.  After vetting these values the CEC revised the August load shares, then ED applied the revised load shares to the aggregate local requirements and sent out the incremental local allocation values with the CAM- RMR allocations to be used in the Month-ahead May and June 2011 filings.  Energy division checked to make sure that each LSE meet their reallocated local requirement, using these values, for May and June 2011.  The same process </w:t>
      </w:r>
      <w:r w:rsidR="007B7AE5">
        <w:t xml:space="preserve">gets </w:t>
      </w:r>
      <w:r w:rsidRPr="00AD151D">
        <w:t>repeated again beginning with a revised August Forecast filed on April 2</w:t>
      </w:r>
      <w:r w:rsidRPr="00AD151D">
        <w:rPr>
          <w:vertAlign w:val="superscript"/>
        </w:rPr>
        <w:t>nd</w:t>
      </w:r>
      <w:r w:rsidRPr="00AD151D">
        <w:t>. The second local true-up values were sent out on April 18</w:t>
      </w:r>
      <w:r w:rsidRPr="00AD151D">
        <w:rPr>
          <w:vertAlign w:val="superscript"/>
        </w:rPr>
        <w:t>th</w:t>
      </w:r>
      <w:r w:rsidRPr="00AD151D">
        <w:t xml:space="preserve"> with the July CAM</w:t>
      </w:r>
      <w:r w:rsidR="00EC13EF">
        <w:t>-</w:t>
      </w:r>
      <w:r w:rsidR="00EC13EF" w:rsidRPr="00AD151D">
        <w:t xml:space="preserve">RMR </w:t>
      </w:r>
      <w:r w:rsidRPr="00AD151D">
        <w:t xml:space="preserve">letter.  These incremental </w:t>
      </w:r>
      <w:r w:rsidRPr="00AD151D">
        <w:lastRenderedPageBreak/>
        <w:t>values were used for the remainder of 2011 (July to December MA filings).  Energy Division checked to make sure each LSE meet their second revi</w:t>
      </w:r>
      <w:r w:rsidR="001F7D86">
        <w:t>sed local requirement for July-</w:t>
      </w:r>
      <w:r w:rsidRPr="00AD151D">
        <w:t xml:space="preserve">December MA filings.   </w:t>
      </w:r>
    </w:p>
    <w:p w:rsidR="00AE7D50" w:rsidRPr="006C5D7A" w:rsidRDefault="00AE7D50">
      <w:pPr>
        <w:pStyle w:val="Heading2"/>
        <w:numPr>
          <w:ilvl w:val="1"/>
          <w:numId w:val="18"/>
        </w:numPr>
        <w:rPr>
          <w:i w:val="0"/>
        </w:rPr>
      </w:pPr>
      <w:bookmarkStart w:id="57" w:name="_Toc153686722"/>
      <w:bookmarkStart w:id="58" w:name="_Toc153708215"/>
      <w:bookmarkStart w:id="59" w:name="_Toc286156250"/>
      <w:bookmarkStart w:id="60" w:name="_Toc286156252"/>
      <w:bookmarkStart w:id="61" w:name="_Toc286156307"/>
      <w:bookmarkStart w:id="62" w:name="_Toc286156309"/>
      <w:bookmarkStart w:id="63" w:name="_Toc286156422"/>
      <w:bookmarkStart w:id="64" w:name="_Toc286156517"/>
      <w:bookmarkStart w:id="65" w:name="_Toc224022438"/>
      <w:bookmarkStart w:id="66" w:name="_Toc347827050"/>
      <w:bookmarkEnd w:id="57"/>
      <w:bookmarkEnd w:id="58"/>
      <w:bookmarkEnd w:id="59"/>
      <w:bookmarkEnd w:id="60"/>
      <w:bookmarkEnd w:id="61"/>
      <w:bookmarkEnd w:id="62"/>
      <w:bookmarkEnd w:id="63"/>
      <w:bookmarkEnd w:id="64"/>
      <w:r w:rsidRPr="006C5D7A">
        <w:rPr>
          <w:i w:val="0"/>
        </w:rPr>
        <w:t>Total RA Resources Available to the CAISO</w:t>
      </w:r>
      <w:bookmarkEnd w:id="65"/>
      <w:bookmarkEnd w:id="66"/>
    </w:p>
    <w:p w:rsidR="001F7D86" w:rsidRDefault="00AE7D50">
      <w:pPr>
        <w:spacing w:before="120"/>
        <w:ind w:firstLine="720"/>
      </w:pPr>
      <w:r w:rsidRPr="00AD151D">
        <w:t xml:space="preserve">The CPUC has coordinated its RA program with the CAISO’s reliability requirements.  The CAISO also receives resource adequacy filings from non-CPUC jurisdictional LSEs.  </w:t>
      </w:r>
      <w:r w:rsidR="00F27FC0" w:rsidRPr="00AD151D">
        <w:fldChar w:fldCharType="begin"/>
      </w:r>
      <w:r w:rsidR="00F27FC0" w:rsidRPr="00AD151D">
        <w:instrText xml:space="preserve"> REF _Ref225067824 \h  \* MERGEFORMAT </w:instrText>
      </w:r>
      <w:r w:rsidR="00F27FC0" w:rsidRPr="00AD151D">
        <w:fldChar w:fldCharType="separate"/>
      </w:r>
      <w:r w:rsidR="00B3535E" w:rsidRPr="00AD151D">
        <w:t xml:space="preserve">Figure </w:t>
      </w:r>
      <w:r w:rsidR="00B3535E">
        <w:t>2</w:t>
      </w:r>
      <w:r w:rsidR="00F27FC0" w:rsidRPr="00AD151D">
        <w:fldChar w:fldCharType="end"/>
      </w:r>
      <w:r w:rsidRPr="00AD151D">
        <w:rPr>
          <w:rStyle w:val="ListBulletChar"/>
        </w:rPr>
        <w:t xml:space="preserve"> </w:t>
      </w:r>
      <w:r w:rsidRPr="00AD151D">
        <w:t>compares the total LSE forecasts used for compliance across the CAISO against the CAISO Procurement obligation, total RA procured by LSEs within CAISO, and the actual CAISO peak load in the summer months of 201</w:t>
      </w:r>
      <w:r w:rsidR="003A04F3" w:rsidRPr="00AD151D">
        <w:t>1</w:t>
      </w:r>
      <w:r w:rsidRPr="00AD151D">
        <w:t>.  In all months, the capacity available to CAISO exceeded the actual monthly peak load, and only</w:t>
      </w:r>
      <w:r w:rsidR="001F7D86">
        <w:t xml:space="preserve"> </w:t>
      </w:r>
      <w:r w:rsidRPr="00AD151D">
        <w:t>September</w:t>
      </w:r>
      <w:r w:rsidR="001F7D86">
        <w:t>’s</w:t>
      </w:r>
      <w:r w:rsidRPr="00AD151D">
        <w:t xml:space="preserve"> actual peak load approach</w:t>
      </w:r>
      <w:r w:rsidR="001F7D86">
        <w:t>ed</w:t>
      </w:r>
      <w:r w:rsidRPr="00AD151D">
        <w:t xml:space="preserve"> the Year-Ahead load forecast for that month.  </w:t>
      </w:r>
    </w:p>
    <w:p w:rsidR="00AE7D50" w:rsidRPr="00AD151D" w:rsidRDefault="00AE7D50">
      <w:pPr>
        <w:spacing w:before="120"/>
        <w:ind w:firstLine="720"/>
      </w:pPr>
      <w:r w:rsidRPr="00AD151D">
        <w:t xml:space="preserve">Actual peak load for </w:t>
      </w:r>
      <w:r w:rsidR="003A04F3" w:rsidRPr="00AD151D">
        <w:t>2011</w:t>
      </w:r>
      <w:r w:rsidRPr="00AD151D">
        <w:t xml:space="preserve"> occurred in </w:t>
      </w:r>
      <w:r w:rsidR="00AD151D">
        <w:t>September</w:t>
      </w:r>
      <w:r w:rsidRPr="00AD151D">
        <w:t xml:space="preserve">, when capacity </w:t>
      </w:r>
      <w:r w:rsidR="00AD151D">
        <w:t xml:space="preserve">resources procured by all LSEs, </w:t>
      </w:r>
      <w:r w:rsidRPr="00AD151D">
        <w:t>CPUC jurisdictio</w:t>
      </w:r>
      <w:r w:rsidR="00AD151D">
        <w:t>nal and non-CPUC jurisdictional</w:t>
      </w:r>
      <w:r w:rsidRPr="00AD151D">
        <w:t xml:space="preserve"> totaled </w:t>
      </w:r>
      <w:r w:rsidR="00AD151D">
        <w:t>53,</w:t>
      </w:r>
      <w:r w:rsidR="00452970">
        <w:t>079</w:t>
      </w:r>
      <w:r w:rsidR="00452970" w:rsidRPr="00AD151D">
        <w:t xml:space="preserve"> </w:t>
      </w:r>
      <w:r w:rsidR="00AD151D">
        <w:t>MW of resources to meet 45</w:t>
      </w:r>
      <w:r w:rsidRPr="00AD151D">
        <w:t>,</w:t>
      </w:r>
      <w:r w:rsidR="00AD151D">
        <w:t>569</w:t>
      </w:r>
      <w:r w:rsidRPr="00AD151D">
        <w:t xml:space="preserve"> MW of actual CAISO peak load.  System RA resources, including Demand Response resources, ranged between </w:t>
      </w:r>
      <w:r w:rsidR="00E754BD">
        <w:t>44,25</w:t>
      </w:r>
      <w:r w:rsidR="00452970">
        <w:t>2</w:t>
      </w:r>
      <w:r w:rsidR="001F7D86">
        <w:t xml:space="preserve"> MW in </w:t>
      </w:r>
      <w:r w:rsidRPr="00AD151D">
        <w:t xml:space="preserve">May to </w:t>
      </w:r>
      <w:r w:rsidR="00E754BD">
        <w:t>56,714</w:t>
      </w:r>
      <w:r w:rsidRPr="00AD151D">
        <w:t xml:space="preserve"> MW </w:t>
      </w:r>
      <w:r w:rsidR="001F7D86">
        <w:t>in</w:t>
      </w:r>
      <w:r w:rsidRPr="00AD151D">
        <w:t>August, or between 10</w:t>
      </w:r>
      <w:r w:rsidR="00E754BD">
        <w:t>1</w:t>
      </w:r>
      <w:r w:rsidRPr="00AD151D">
        <w:t xml:space="preserve"> and 10</w:t>
      </w:r>
      <w:r w:rsidR="00E754BD">
        <w:t>3</w:t>
      </w:r>
      <w:r w:rsidRPr="00AD151D">
        <w:t xml:space="preserve"> percent of CAISO total procurement obligations.  </w:t>
      </w:r>
    </w:p>
    <w:p w:rsidR="00AE7D50" w:rsidRPr="00AD151D" w:rsidRDefault="00AE7D50" w:rsidP="00B6489E">
      <w:pPr>
        <w:pStyle w:val="Caption"/>
        <w:keepNext/>
        <w:keepLines/>
        <w:spacing w:before="120"/>
      </w:pPr>
      <w:bookmarkStart w:id="67" w:name="_Ref225067824"/>
      <w:bookmarkStart w:id="68" w:name="_Ref347420896"/>
      <w:bookmarkStart w:id="69" w:name="_Ref347421466"/>
      <w:bookmarkStart w:id="70" w:name="_Toc347827091"/>
      <w:r w:rsidRPr="00AD151D">
        <w:t xml:space="preserve">Figure </w:t>
      </w:r>
      <w:r w:rsidR="00B3535E">
        <w:fldChar w:fldCharType="begin"/>
      </w:r>
      <w:r w:rsidR="00B3535E">
        <w:instrText xml:space="preserve"> SEQ Figure \* ARABIC </w:instrText>
      </w:r>
      <w:r w:rsidR="00B3535E">
        <w:fldChar w:fldCharType="separate"/>
      </w:r>
      <w:r w:rsidR="00B3535E">
        <w:rPr>
          <w:noProof/>
        </w:rPr>
        <w:t>2</w:t>
      </w:r>
      <w:r w:rsidR="00B3535E">
        <w:rPr>
          <w:noProof/>
        </w:rPr>
        <w:fldChar w:fldCharType="end"/>
      </w:r>
      <w:bookmarkEnd w:id="67"/>
      <w:r w:rsidR="00BB596F" w:rsidRPr="00AD151D">
        <w:t>. Total CAISO Summer 2011</w:t>
      </w:r>
      <w:r w:rsidRPr="00AD151D">
        <w:t xml:space="preserve"> Forward Procurement Obligation and Forward Procurement vs. LSE Demand Forecast and Actual Monthly Peak Demand (MW)</w:t>
      </w:r>
      <w:bookmarkEnd w:id="68"/>
      <w:bookmarkEnd w:id="69"/>
      <w:bookmarkEnd w:id="70"/>
    </w:p>
    <w:p w:rsidR="00B6489E" w:rsidRDefault="00BB596F" w:rsidP="00B6489E">
      <w:pPr>
        <w:keepNext/>
        <w:keepLines/>
        <w:spacing w:before="120"/>
        <w:rPr>
          <w:sz w:val="18"/>
          <w:szCs w:val="18"/>
        </w:rPr>
      </w:pPr>
      <w:r w:rsidRPr="00AD151D">
        <w:rPr>
          <w:noProof/>
        </w:rPr>
        <w:drawing>
          <wp:inline distT="0" distB="0" distL="0" distR="0" wp14:anchorId="4D3776A2" wp14:editId="63CF0D60">
            <wp:extent cx="5262113" cy="3579962"/>
            <wp:effectExtent l="0" t="0" r="15240" b="2095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E7D50" w:rsidRPr="00AD151D" w:rsidRDefault="00AE7D50" w:rsidP="00B6489E">
      <w:pPr>
        <w:keepNext/>
        <w:keepLines/>
        <w:spacing w:before="120"/>
        <w:rPr>
          <w:sz w:val="20"/>
          <w:szCs w:val="20"/>
        </w:rPr>
      </w:pPr>
      <w:r w:rsidRPr="00AD151D">
        <w:rPr>
          <w:sz w:val="18"/>
          <w:szCs w:val="18"/>
        </w:rPr>
        <w:t>Source: Aggregated data compiled from CAISO MRTU Analysis and checked against Monthly CPUC and non-CPUC RA Filings</w:t>
      </w:r>
    </w:p>
    <w:p w:rsidR="00AE7D50" w:rsidRPr="00AD151D" w:rsidRDefault="00F27FC0">
      <w:pPr>
        <w:spacing w:before="120"/>
        <w:ind w:firstLine="720"/>
      </w:pPr>
      <w:r w:rsidRPr="00AD151D">
        <w:fldChar w:fldCharType="begin"/>
      </w:r>
      <w:r w:rsidRPr="00AD151D">
        <w:instrText xml:space="preserve"> REF _Ref191732434 \h  \* MERGEFORMAT </w:instrText>
      </w:r>
      <w:r w:rsidRPr="00AD151D">
        <w:fldChar w:fldCharType="separate"/>
      </w:r>
      <w:r w:rsidR="00B3535E" w:rsidRPr="00B3535E">
        <w:rPr>
          <w:bCs/>
        </w:rPr>
        <w:t xml:space="preserve">Table </w:t>
      </w:r>
      <w:r w:rsidR="00B3535E" w:rsidRPr="00B3535E">
        <w:rPr>
          <w:bCs/>
          <w:noProof/>
        </w:rPr>
        <w:t>18</w:t>
      </w:r>
      <w:r w:rsidRPr="00AD151D">
        <w:fldChar w:fldCharType="end"/>
      </w:r>
      <w:r w:rsidR="00AE7D50" w:rsidRPr="00AD151D">
        <w:t xml:space="preserve"> (Appendix 1) illustrates total procurement for the summer of 201</w:t>
      </w:r>
      <w:r w:rsidR="003A04F3" w:rsidRPr="00AD151D">
        <w:t>1</w:t>
      </w:r>
      <w:r w:rsidR="00AE7D50" w:rsidRPr="00AD151D">
        <w:t xml:space="preserve"> for all LSEs by contract type, and compares such procurement to the CAISO procurement </w:t>
      </w:r>
      <w:r w:rsidR="00AE7D50" w:rsidRPr="00AD151D">
        <w:lastRenderedPageBreak/>
        <w:t xml:space="preserve">obligation.  The data represented in </w:t>
      </w:r>
      <w:r w:rsidRPr="00AD151D">
        <w:fldChar w:fldCharType="begin"/>
      </w:r>
      <w:r w:rsidRPr="00AD151D">
        <w:instrText xml:space="preserve"> REF _Ref225067824 \h  \* MERGEFORMAT </w:instrText>
      </w:r>
      <w:r w:rsidRPr="00AD151D">
        <w:fldChar w:fldCharType="separate"/>
      </w:r>
      <w:r w:rsidR="00B3535E" w:rsidRPr="00AD151D">
        <w:t xml:space="preserve">Figure </w:t>
      </w:r>
      <w:r w:rsidR="00B3535E">
        <w:t>2</w:t>
      </w:r>
      <w:r w:rsidRPr="00AD151D">
        <w:fldChar w:fldCharType="end"/>
      </w:r>
      <w:r w:rsidR="00AE7D50" w:rsidRPr="00AD151D">
        <w:t xml:space="preserve"> derives from </w:t>
      </w:r>
      <w:r w:rsidRPr="00AD151D">
        <w:fldChar w:fldCharType="begin"/>
      </w:r>
      <w:r w:rsidRPr="00AD151D">
        <w:instrText xml:space="preserve"> REF _Ref191732434 \h  \* MERGEFORMAT </w:instrText>
      </w:r>
      <w:r w:rsidRPr="00AD151D">
        <w:fldChar w:fldCharType="separate"/>
      </w:r>
      <w:r w:rsidR="00B3535E" w:rsidRPr="00B3535E">
        <w:rPr>
          <w:bCs/>
        </w:rPr>
        <w:t xml:space="preserve">Table </w:t>
      </w:r>
      <w:r w:rsidR="00B3535E" w:rsidRPr="00B3535E">
        <w:rPr>
          <w:bCs/>
          <w:noProof/>
        </w:rPr>
        <w:t>18</w:t>
      </w:r>
      <w:r w:rsidRPr="00AD151D">
        <w:fldChar w:fldCharType="end"/>
      </w:r>
      <w:r w:rsidR="00AE7D50" w:rsidRPr="00AD151D">
        <w:t xml:space="preserve">.  </w:t>
      </w:r>
      <w:bookmarkStart w:id="71" w:name="_Ref161576487"/>
      <w:r w:rsidR="00AE7D50" w:rsidRPr="00AD151D">
        <w:t>Significantly, 7</w:t>
      </w:r>
      <w:r w:rsidR="003A04F3" w:rsidRPr="00AD151D">
        <w:t>8</w:t>
      </w:r>
      <w:r w:rsidR="00AE7D50" w:rsidRPr="00AD151D">
        <w:t xml:space="preserve"> to 8</w:t>
      </w:r>
      <w:r w:rsidR="003A04F3" w:rsidRPr="00AD151D">
        <w:t>0</w:t>
      </w:r>
      <w:r w:rsidR="00AE7D50" w:rsidRPr="00AD151D">
        <w:t xml:space="preserve"> percent of all procured resources for summer 201</w:t>
      </w:r>
      <w:r w:rsidR="00BB596F" w:rsidRPr="00AD151D">
        <w:t>1</w:t>
      </w:r>
      <w:r w:rsidR="00AE7D50" w:rsidRPr="00AD151D">
        <w:t xml:space="preserve"> were unit specific physical resources within the CAISO control area; </w:t>
      </w:r>
      <w:r w:rsidR="003A04F3" w:rsidRPr="00AD151D">
        <w:t>8</w:t>
      </w:r>
      <w:r w:rsidR="00AE7D50" w:rsidRPr="00AD151D">
        <w:t xml:space="preserve"> to 1</w:t>
      </w:r>
      <w:r w:rsidR="003A04F3" w:rsidRPr="00AD151D">
        <w:t>1</w:t>
      </w:r>
      <w:r w:rsidR="00AE7D50" w:rsidRPr="00AD151D">
        <w:t xml:space="preserve"> percent were imports, and about 1 percent </w:t>
      </w:r>
      <w:r w:rsidR="00B414BC" w:rsidRPr="00AD151D">
        <w:t>was</w:t>
      </w:r>
      <w:r w:rsidR="00AE7D50" w:rsidRPr="00AD151D">
        <w:t xml:space="preserve"> non-DWR Liquidated Damages contracts listed by the POUs.  </w:t>
      </w:r>
      <w:bookmarkEnd w:id="71"/>
    </w:p>
    <w:p w:rsidR="00AE7D50" w:rsidRPr="00AD151D" w:rsidRDefault="00AE7D50">
      <w:pPr>
        <w:pStyle w:val="Heading1"/>
        <w:numPr>
          <w:ilvl w:val="0"/>
          <w:numId w:val="18"/>
        </w:numPr>
        <w:spacing w:before="120"/>
      </w:pPr>
      <w:bookmarkStart w:id="72" w:name="_Toc223253253"/>
      <w:bookmarkStart w:id="73" w:name="_Toc223315665"/>
      <w:bookmarkStart w:id="74" w:name="_Toc224022439"/>
      <w:bookmarkStart w:id="75" w:name="_Toc347827051"/>
      <w:r w:rsidRPr="00AD151D">
        <w:t>Process for Determining NQC of RA Resources</w:t>
      </w:r>
      <w:bookmarkEnd w:id="72"/>
      <w:bookmarkEnd w:id="73"/>
      <w:bookmarkEnd w:id="74"/>
      <w:bookmarkEnd w:id="75"/>
      <w:r w:rsidRPr="00AD151D">
        <w:tab/>
      </w:r>
    </w:p>
    <w:p w:rsidR="00AE7D50" w:rsidRPr="00AD151D" w:rsidRDefault="006C5D7A">
      <w:pPr>
        <w:spacing w:before="120"/>
        <w:ind w:firstLine="720"/>
      </w:pPr>
      <w:r>
        <w:t>NQC</w:t>
      </w:r>
      <w:r w:rsidR="00AE7D50" w:rsidRPr="00AD151D">
        <w:t xml:space="preserve"> is the amount of a resource’s capacity that can be counted for RA compliance filings.  The CPUC established NQC counting conventions, which are computed based on the applicable resource type.  Qualifying Capacity (QC) represents the maximum capacity eligible to be counted for meeting the CPUC’s RAR prior to assessing the deliverability of the resource.  The CAISO adjusts a resource’s QC for deliverability; the resulting value is the NQC.  Each year, the CPUC posts on its website the NQC for each resource that is eligible to sell RA capacity to CPUC jurisdictional LSEs.  The CPUC adopted the current QC counting conventions in D.10-06-036.</w:t>
      </w:r>
      <w:r w:rsidR="00AE7D50" w:rsidRPr="00AD151D">
        <w:rPr>
          <w:rStyle w:val="FootnoteReference"/>
        </w:rPr>
        <w:footnoteReference w:id="23"/>
      </w:r>
    </w:p>
    <w:p w:rsidR="00B07A8B" w:rsidRDefault="00B07A8B" w:rsidP="00C51DD8">
      <w:pPr>
        <w:spacing w:before="120"/>
        <w:ind w:firstLine="720"/>
      </w:pPr>
      <w:r>
        <w:t>The</w:t>
      </w:r>
      <w:r w:rsidRPr="00AD151D">
        <w:t xml:space="preserve"> </w:t>
      </w:r>
      <w:r>
        <w:t xml:space="preserve">NQC </w:t>
      </w:r>
      <w:r w:rsidRPr="00AD151D">
        <w:t>in</w:t>
      </w:r>
      <w:r>
        <w:t>creased by 105MWs in</w:t>
      </w:r>
      <w:r w:rsidRPr="00AD151D">
        <w:t xml:space="preserve"> 2011 </w:t>
      </w:r>
      <w:r>
        <w:t>from</w:t>
      </w:r>
      <w:r w:rsidRPr="00AD151D">
        <w:t xml:space="preserve"> 2010.  </w:t>
      </w:r>
      <w:r>
        <w:t>This increase can be attributed to both new resources that came online in 2010 that were added to the NQC list for 2011 and the changes in resource performance from one year to the next.  For resources whose NQC is based on performance, such as wind and solar resources, each year new data replaces a portion of the old data causing some year to year variation.</w:t>
      </w:r>
      <w:r w:rsidR="00C51DD8">
        <w:t xml:space="preserve">  </w:t>
      </w:r>
    </w:p>
    <w:p w:rsidR="00C51DD8" w:rsidRDefault="00C51DD8" w:rsidP="00C51DD8">
      <w:pPr>
        <w:spacing w:before="120"/>
        <w:ind w:firstLine="720"/>
      </w:pPr>
      <w:r>
        <w:t>T</w:t>
      </w:r>
      <w:r w:rsidRPr="00AD151D">
        <w:t>here were several additions to the overall fleet in 2011</w:t>
      </w:r>
      <w:r>
        <w:t xml:space="preserve"> after the publishing of the 2011 NQC list</w:t>
      </w:r>
      <w:r w:rsidRPr="00AD151D">
        <w:t>.</w:t>
      </w:r>
      <w:r w:rsidRPr="00AD151D">
        <w:rPr>
          <w:rStyle w:val="FootnoteReference"/>
        </w:rPr>
        <w:footnoteReference w:id="24"/>
      </w:r>
      <w:r w:rsidRPr="00AD151D">
        <w:t xml:space="preserve">  </w:t>
      </w:r>
      <w:r w:rsidR="00B07A8B">
        <w:t xml:space="preserve">Overall there was a loss of 329 MWs of NQC </w:t>
      </w:r>
      <w:r w:rsidR="001F7D86">
        <w:t xml:space="preserve">after </w:t>
      </w:r>
      <w:r w:rsidR="00B07A8B">
        <w:t>netting</w:t>
      </w:r>
      <w:r w:rsidR="001F7D86">
        <w:t xml:space="preserve"> 504MWs of</w:t>
      </w:r>
      <w:r w:rsidR="00B07A8B">
        <w:t xml:space="preserve"> </w:t>
      </w:r>
      <w:r w:rsidR="001F7D86">
        <w:t xml:space="preserve">online </w:t>
      </w:r>
      <w:r w:rsidRPr="00AD151D">
        <w:t xml:space="preserve">additions </w:t>
      </w:r>
      <w:r w:rsidR="00B07A8B">
        <w:t xml:space="preserve">with </w:t>
      </w:r>
      <w:r>
        <w:t xml:space="preserve">833 MW of </w:t>
      </w:r>
      <w:r w:rsidRPr="00AD151D">
        <w:t>retire</w:t>
      </w:r>
      <w:r w:rsidR="001F7D86">
        <w:t>ments</w:t>
      </w:r>
      <w:r w:rsidRPr="00AD151D">
        <w:t xml:space="preserve"> </w:t>
      </w:r>
      <w:r>
        <w:t>in 2011</w:t>
      </w:r>
      <w:r w:rsidRPr="00AD151D">
        <w:t xml:space="preserve">.    </w:t>
      </w:r>
    </w:p>
    <w:p w:rsidR="00C51DD8" w:rsidRPr="00650B75" w:rsidRDefault="00C51DD8" w:rsidP="00B07A8B">
      <w:pPr>
        <w:pStyle w:val="Caption"/>
        <w:spacing w:before="120"/>
      </w:pPr>
      <w:bookmarkStart w:id="76" w:name="_Ref347420884"/>
      <w:bookmarkStart w:id="77" w:name="_Toc347827076"/>
      <w:r w:rsidRPr="00003488">
        <w:rPr>
          <w:sz w:val="24"/>
          <w:szCs w:val="24"/>
        </w:rPr>
        <w:t xml:space="preserve">Table </w:t>
      </w:r>
      <w:r w:rsidRPr="00B07A8B">
        <w:rPr>
          <w:sz w:val="24"/>
          <w:szCs w:val="24"/>
        </w:rPr>
        <w:fldChar w:fldCharType="begin"/>
      </w:r>
      <w:r w:rsidRPr="00003488">
        <w:rPr>
          <w:sz w:val="24"/>
          <w:szCs w:val="24"/>
        </w:rPr>
        <w:instrText xml:space="preserve"> SEQ Table \* ARABIC </w:instrText>
      </w:r>
      <w:r w:rsidRPr="00B07A8B">
        <w:rPr>
          <w:sz w:val="24"/>
          <w:szCs w:val="24"/>
        </w:rPr>
        <w:fldChar w:fldCharType="separate"/>
      </w:r>
      <w:r w:rsidR="00B3535E">
        <w:rPr>
          <w:noProof/>
          <w:sz w:val="24"/>
          <w:szCs w:val="24"/>
        </w:rPr>
        <w:t>6</w:t>
      </w:r>
      <w:r w:rsidRPr="00B07A8B">
        <w:rPr>
          <w:sz w:val="24"/>
          <w:szCs w:val="24"/>
        </w:rPr>
        <w:fldChar w:fldCharType="end"/>
      </w:r>
      <w:r w:rsidRPr="00003488">
        <w:rPr>
          <w:sz w:val="24"/>
          <w:szCs w:val="24"/>
        </w:rPr>
        <w:t xml:space="preserve"> </w:t>
      </w:r>
      <w:r w:rsidRPr="00B07A8B">
        <w:rPr>
          <w:color w:val="000000"/>
          <w:sz w:val="24"/>
          <w:szCs w:val="24"/>
        </w:rPr>
        <w:t>New Resources that came online in 2011 since the 2011 NQC list</w:t>
      </w:r>
      <w:bookmarkEnd w:id="76"/>
      <w:bookmarkEnd w:id="77"/>
    </w:p>
    <w:tbl>
      <w:tblPr>
        <w:tblW w:w="6765" w:type="dxa"/>
        <w:tblInd w:w="93" w:type="dxa"/>
        <w:tblLook w:val="04A0" w:firstRow="1" w:lastRow="0" w:firstColumn="1" w:lastColumn="0" w:noHBand="0" w:noVBand="1"/>
      </w:tblPr>
      <w:tblGrid>
        <w:gridCol w:w="3975"/>
        <w:gridCol w:w="1710"/>
        <w:gridCol w:w="1080"/>
      </w:tblGrid>
      <w:tr w:rsidR="00C51DD8" w:rsidTr="00800C8F">
        <w:trPr>
          <w:trHeight w:val="300"/>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rsidR="00C51DD8" w:rsidRPr="00B6489E" w:rsidRDefault="00C51DD8" w:rsidP="00B07A8B">
            <w:pPr>
              <w:spacing w:before="120"/>
              <w:rPr>
                <w:b/>
                <w:color w:val="000000"/>
                <w:sz w:val="22"/>
                <w:szCs w:val="22"/>
              </w:rPr>
            </w:pPr>
            <w:r w:rsidRPr="00B6489E">
              <w:rPr>
                <w:b/>
                <w:color w:val="000000"/>
                <w:sz w:val="22"/>
                <w:szCs w:val="22"/>
              </w:rPr>
              <w:t>Resource Name</w:t>
            </w:r>
          </w:p>
        </w:tc>
        <w:tc>
          <w:tcPr>
            <w:tcW w:w="1710" w:type="dxa"/>
            <w:tcBorders>
              <w:top w:val="nil"/>
              <w:left w:val="nil"/>
              <w:bottom w:val="single" w:sz="4" w:space="0" w:color="auto"/>
              <w:right w:val="single" w:sz="4" w:space="0" w:color="auto"/>
            </w:tcBorders>
            <w:shd w:val="clear" w:color="auto" w:fill="auto"/>
            <w:noWrap/>
            <w:vAlign w:val="bottom"/>
            <w:hideMark/>
          </w:tcPr>
          <w:p w:rsidR="00C51DD8" w:rsidRPr="00B6489E" w:rsidRDefault="00B414BC" w:rsidP="00B07A8B">
            <w:pPr>
              <w:spacing w:before="120"/>
              <w:rPr>
                <w:b/>
                <w:color w:val="000000"/>
                <w:sz w:val="22"/>
                <w:szCs w:val="22"/>
              </w:rPr>
            </w:pPr>
            <w:r w:rsidRPr="00B6489E">
              <w:rPr>
                <w:b/>
                <w:color w:val="000000"/>
                <w:sz w:val="22"/>
                <w:szCs w:val="22"/>
              </w:rPr>
              <w:t>Technology</w:t>
            </w:r>
          </w:p>
        </w:tc>
        <w:tc>
          <w:tcPr>
            <w:tcW w:w="1080" w:type="dxa"/>
            <w:tcBorders>
              <w:top w:val="nil"/>
              <w:left w:val="nil"/>
              <w:bottom w:val="single" w:sz="4" w:space="0" w:color="auto"/>
              <w:right w:val="single" w:sz="4" w:space="0" w:color="auto"/>
            </w:tcBorders>
            <w:shd w:val="clear" w:color="auto" w:fill="auto"/>
            <w:noWrap/>
            <w:vAlign w:val="bottom"/>
            <w:hideMark/>
          </w:tcPr>
          <w:p w:rsidR="00C51DD8" w:rsidRPr="00B6489E" w:rsidRDefault="00C51DD8" w:rsidP="00B07A8B">
            <w:pPr>
              <w:spacing w:before="120"/>
              <w:rPr>
                <w:b/>
                <w:color w:val="000000"/>
                <w:sz w:val="22"/>
                <w:szCs w:val="22"/>
              </w:rPr>
            </w:pPr>
            <w:r w:rsidRPr="00B6489E">
              <w:rPr>
                <w:b/>
                <w:color w:val="000000"/>
                <w:sz w:val="22"/>
                <w:szCs w:val="22"/>
              </w:rPr>
              <w:t>NQC</w:t>
            </w:r>
          </w:p>
        </w:tc>
      </w:tr>
      <w:tr w:rsidR="00C51DD8" w:rsidTr="00800C8F">
        <w:trPr>
          <w:trHeight w:val="300"/>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rsidR="00C51DD8" w:rsidRPr="00800C8F" w:rsidRDefault="00C51DD8" w:rsidP="00B6489E">
            <w:pPr>
              <w:spacing w:beforeLines="20" w:before="48"/>
              <w:rPr>
                <w:color w:val="000000"/>
                <w:sz w:val="22"/>
                <w:szCs w:val="22"/>
              </w:rPr>
            </w:pPr>
            <w:r w:rsidRPr="00800C8F">
              <w:rPr>
                <w:color w:val="000000"/>
                <w:sz w:val="22"/>
                <w:szCs w:val="22"/>
              </w:rPr>
              <w:t>CPC East - Alta Wind 4</w:t>
            </w:r>
          </w:p>
        </w:tc>
        <w:tc>
          <w:tcPr>
            <w:tcW w:w="1710" w:type="dxa"/>
            <w:tcBorders>
              <w:top w:val="nil"/>
              <w:left w:val="nil"/>
              <w:bottom w:val="single" w:sz="4" w:space="0" w:color="auto"/>
              <w:right w:val="single" w:sz="4" w:space="0" w:color="auto"/>
            </w:tcBorders>
            <w:shd w:val="clear" w:color="auto" w:fill="auto"/>
            <w:noWrap/>
            <w:vAlign w:val="bottom"/>
            <w:hideMark/>
          </w:tcPr>
          <w:p w:rsidR="00C51DD8" w:rsidRPr="00800C8F" w:rsidRDefault="00C51DD8" w:rsidP="00B6489E">
            <w:pPr>
              <w:spacing w:beforeLines="20" w:before="48"/>
              <w:rPr>
                <w:color w:val="000000"/>
                <w:sz w:val="22"/>
                <w:szCs w:val="22"/>
              </w:rPr>
            </w:pPr>
            <w:r w:rsidRPr="00800C8F">
              <w:rPr>
                <w:color w:val="000000"/>
                <w:sz w:val="22"/>
                <w:szCs w:val="22"/>
              </w:rPr>
              <w:t>Wind</w:t>
            </w:r>
          </w:p>
        </w:tc>
        <w:tc>
          <w:tcPr>
            <w:tcW w:w="1080" w:type="dxa"/>
            <w:tcBorders>
              <w:top w:val="nil"/>
              <w:left w:val="nil"/>
              <w:bottom w:val="single" w:sz="4" w:space="0" w:color="auto"/>
              <w:right w:val="single" w:sz="4" w:space="0" w:color="auto"/>
            </w:tcBorders>
            <w:shd w:val="clear" w:color="auto" w:fill="auto"/>
            <w:noWrap/>
            <w:vAlign w:val="bottom"/>
            <w:hideMark/>
          </w:tcPr>
          <w:p w:rsidR="00C51DD8" w:rsidRPr="00800C8F" w:rsidRDefault="00C51DD8" w:rsidP="00B6489E">
            <w:pPr>
              <w:spacing w:beforeLines="20" w:before="48"/>
              <w:jc w:val="right"/>
              <w:rPr>
                <w:color w:val="000000"/>
                <w:sz w:val="22"/>
                <w:szCs w:val="22"/>
              </w:rPr>
            </w:pPr>
            <w:r w:rsidRPr="00800C8F">
              <w:rPr>
                <w:color w:val="000000"/>
                <w:sz w:val="22"/>
                <w:szCs w:val="22"/>
              </w:rPr>
              <w:t>16.98</w:t>
            </w:r>
          </w:p>
        </w:tc>
      </w:tr>
      <w:tr w:rsidR="00C51DD8" w:rsidTr="00800C8F">
        <w:trPr>
          <w:trHeight w:val="300"/>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rsidR="00C51DD8" w:rsidRPr="00800C8F" w:rsidRDefault="00C51DD8" w:rsidP="00B6489E">
            <w:pPr>
              <w:spacing w:beforeLines="20" w:before="48"/>
              <w:rPr>
                <w:color w:val="000000"/>
                <w:sz w:val="22"/>
                <w:szCs w:val="22"/>
              </w:rPr>
            </w:pPr>
            <w:r w:rsidRPr="00800C8F">
              <w:rPr>
                <w:color w:val="000000"/>
                <w:sz w:val="22"/>
                <w:szCs w:val="22"/>
              </w:rPr>
              <w:t>CPC East - Alta Wind 5</w:t>
            </w:r>
          </w:p>
        </w:tc>
        <w:tc>
          <w:tcPr>
            <w:tcW w:w="1710" w:type="dxa"/>
            <w:tcBorders>
              <w:top w:val="nil"/>
              <w:left w:val="nil"/>
              <w:bottom w:val="single" w:sz="4" w:space="0" w:color="auto"/>
              <w:right w:val="single" w:sz="4" w:space="0" w:color="auto"/>
            </w:tcBorders>
            <w:shd w:val="clear" w:color="auto" w:fill="auto"/>
            <w:noWrap/>
            <w:vAlign w:val="bottom"/>
            <w:hideMark/>
          </w:tcPr>
          <w:p w:rsidR="00C51DD8" w:rsidRPr="00800C8F" w:rsidRDefault="00C51DD8" w:rsidP="00B6489E">
            <w:pPr>
              <w:spacing w:beforeLines="20" w:before="48"/>
              <w:rPr>
                <w:color w:val="000000"/>
                <w:sz w:val="22"/>
                <w:szCs w:val="22"/>
              </w:rPr>
            </w:pPr>
            <w:r w:rsidRPr="00800C8F">
              <w:rPr>
                <w:color w:val="000000"/>
                <w:sz w:val="22"/>
                <w:szCs w:val="22"/>
              </w:rPr>
              <w:t>Wind</w:t>
            </w:r>
          </w:p>
        </w:tc>
        <w:tc>
          <w:tcPr>
            <w:tcW w:w="1080" w:type="dxa"/>
            <w:tcBorders>
              <w:top w:val="nil"/>
              <w:left w:val="nil"/>
              <w:bottom w:val="single" w:sz="4" w:space="0" w:color="auto"/>
              <w:right w:val="single" w:sz="4" w:space="0" w:color="auto"/>
            </w:tcBorders>
            <w:shd w:val="clear" w:color="auto" w:fill="auto"/>
            <w:noWrap/>
            <w:vAlign w:val="bottom"/>
            <w:hideMark/>
          </w:tcPr>
          <w:p w:rsidR="00C51DD8" w:rsidRPr="00800C8F" w:rsidRDefault="00C51DD8" w:rsidP="00B6489E">
            <w:pPr>
              <w:spacing w:beforeLines="20" w:before="48"/>
              <w:jc w:val="right"/>
              <w:rPr>
                <w:color w:val="000000"/>
                <w:sz w:val="22"/>
                <w:szCs w:val="22"/>
              </w:rPr>
            </w:pPr>
            <w:r w:rsidRPr="00800C8F">
              <w:rPr>
                <w:color w:val="000000"/>
                <w:sz w:val="22"/>
                <w:szCs w:val="22"/>
              </w:rPr>
              <w:t>27.97</w:t>
            </w:r>
          </w:p>
        </w:tc>
      </w:tr>
      <w:tr w:rsidR="00C51DD8" w:rsidTr="00800C8F">
        <w:trPr>
          <w:trHeight w:val="300"/>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rsidR="00C51DD8" w:rsidRPr="00800C8F" w:rsidRDefault="00C51DD8" w:rsidP="00B6489E">
            <w:pPr>
              <w:spacing w:beforeLines="20" w:before="48"/>
              <w:rPr>
                <w:color w:val="000000"/>
                <w:sz w:val="22"/>
                <w:szCs w:val="22"/>
              </w:rPr>
            </w:pPr>
            <w:r w:rsidRPr="00800C8F">
              <w:rPr>
                <w:color w:val="000000"/>
                <w:sz w:val="22"/>
                <w:szCs w:val="22"/>
              </w:rPr>
              <w:t>CPC West - Alta 3</w:t>
            </w:r>
          </w:p>
        </w:tc>
        <w:tc>
          <w:tcPr>
            <w:tcW w:w="1710" w:type="dxa"/>
            <w:tcBorders>
              <w:top w:val="nil"/>
              <w:left w:val="nil"/>
              <w:bottom w:val="single" w:sz="4" w:space="0" w:color="auto"/>
              <w:right w:val="single" w:sz="4" w:space="0" w:color="auto"/>
            </w:tcBorders>
            <w:shd w:val="clear" w:color="auto" w:fill="auto"/>
            <w:noWrap/>
            <w:vAlign w:val="bottom"/>
            <w:hideMark/>
          </w:tcPr>
          <w:p w:rsidR="00C51DD8" w:rsidRPr="00800C8F" w:rsidRDefault="00C51DD8" w:rsidP="00B6489E">
            <w:pPr>
              <w:spacing w:beforeLines="20" w:before="48"/>
              <w:rPr>
                <w:color w:val="000000"/>
                <w:sz w:val="22"/>
                <w:szCs w:val="22"/>
              </w:rPr>
            </w:pPr>
            <w:r w:rsidRPr="00800C8F">
              <w:rPr>
                <w:color w:val="000000"/>
                <w:sz w:val="22"/>
                <w:szCs w:val="22"/>
              </w:rPr>
              <w:t>Wind</w:t>
            </w:r>
          </w:p>
        </w:tc>
        <w:tc>
          <w:tcPr>
            <w:tcW w:w="1080" w:type="dxa"/>
            <w:tcBorders>
              <w:top w:val="nil"/>
              <w:left w:val="nil"/>
              <w:bottom w:val="single" w:sz="4" w:space="0" w:color="auto"/>
              <w:right w:val="single" w:sz="4" w:space="0" w:color="auto"/>
            </w:tcBorders>
            <w:shd w:val="clear" w:color="auto" w:fill="auto"/>
            <w:noWrap/>
            <w:vAlign w:val="bottom"/>
            <w:hideMark/>
          </w:tcPr>
          <w:p w:rsidR="00C51DD8" w:rsidRPr="00800C8F" w:rsidRDefault="00C51DD8" w:rsidP="00B6489E">
            <w:pPr>
              <w:spacing w:beforeLines="20" w:before="48"/>
              <w:jc w:val="right"/>
              <w:rPr>
                <w:color w:val="000000"/>
                <w:sz w:val="22"/>
                <w:szCs w:val="22"/>
              </w:rPr>
            </w:pPr>
            <w:r w:rsidRPr="00800C8F">
              <w:rPr>
                <w:color w:val="000000"/>
                <w:sz w:val="22"/>
                <w:szCs w:val="22"/>
              </w:rPr>
              <w:t>24.98</w:t>
            </w:r>
          </w:p>
        </w:tc>
      </w:tr>
      <w:tr w:rsidR="00C51DD8" w:rsidTr="00800C8F">
        <w:trPr>
          <w:trHeight w:val="300"/>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rsidR="00C51DD8" w:rsidRPr="00800C8F" w:rsidRDefault="00C51DD8" w:rsidP="00B6489E">
            <w:pPr>
              <w:spacing w:beforeLines="20" w:before="48"/>
              <w:rPr>
                <w:color w:val="000000"/>
                <w:sz w:val="22"/>
                <w:szCs w:val="22"/>
              </w:rPr>
            </w:pPr>
            <w:r w:rsidRPr="00800C8F">
              <w:rPr>
                <w:color w:val="000000"/>
                <w:sz w:val="22"/>
                <w:szCs w:val="22"/>
              </w:rPr>
              <w:t>CANYON POWER PLANT UNIT 1</w:t>
            </w:r>
          </w:p>
        </w:tc>
        <w:tc>
          <w:tcPr>
            <w:tcW w:w="1710" w:type="dxa"/>
            <w:tcBorders>
              <w:top w:val="nil"/>
              <w:left w:val="nil"/>
              <w:bottom w:val="single" w:sz="4" w:space="0" w:color="auto"/>
              <w:right w:val="single" w:sz="4" w:space="0" w:color="auto"/>
            </w:tcBorders>
            <w:shd w:val="clear" w:color="auto" w:fill="auto"/>
            <w:noWrap/>
            <w:vAlign w:val="bottom"/>
            <w:hideMark/>
          </w:tcPr>
          <w:p w:rsidR="00C51DD8" w:rsidRPr="00800C8F" w:rsidRDefault="00C51DD8" w:rsidP="00B6489E">
            <w:pPr>
              <w:spacing w:beforeLines="20" w:before="48"/>
              <w:rPr>
                <w:color w:val="000000"/>
                <w:sz w:val="22"/>
                <w:szCs w:val="22"/>
              </w:rPr>
            </w:pPr>
            <w:r w:rsidRPr="00800C8F">
              <w:rPr>
                <w:color w:val="000000"/>
                <w:sz w:val="22"/>
                <w:szCs w:val="22"/>
              </w:rPr>
              <w:t>Peaker</w:t>
            </w:r>
          </w:p>
        </w:tc>
        <w:tc>
          <w:tcPr>
            <w:tcW w:w="1080" w:type="dxa"/>
            <w:tcBorders>
              <w:top w:val="nil"/>
              <w:left w:val="nil"/>
              <w:bottom w:val="single" w:sz="4" w:space="0" w:color="auto"/>
              <w:right w:val="single" w:sz="4" w:space="0" w:color="auto"/>
            </w:tcBorders>
            <w:shd w:val="clear" w:color="auto" w:fill="auto"/>
            <w:noWrap/>
            <w:vAlign w:val="bottom"/>
            <w:hideMark/>
          </w:tcPr>
          <w:p w:rsidR="00C51DD8" w:rsidRPr="00800C8F" w:rsidRDefault="00C51DD8" w:rsidP="00B6489E">
            <w:pPr>
              <w:spacing w:beforeLines="20" w:before="48"/>
              <w:jc w:val="right"/>
              <w:rPr>
                <w:color w:val="000000"/>
                <w:sz w:val="22"/>
                <w:szCs w:val="22"/>
              </w:rPr>
            </w:pPr>
            <w:r w:rsidRPr="00800C8F">
              <w:rPr>
                <w:color w:val="000000"/>
                <w:sz w:val="22"/>
                <w:szCs w:val="22"/>
              </w:rPr>
              <w:t>49.50</w:t>
            </w:r>
          </w:p>
        </w:tc>
      </w:tr>
      <w:tr w:rsidR="00C51DD8" w:rsidTr="00800C8F">
        <w:trPr>
          <w:trHeight w:val="300"/>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rsidR="00C51DD8" w:rsidRPr="00800C8F" w:rsidRDefault="00C51DD8" w:rsidP="00B6489E">
            <w:pPr>
              <w:spacing w:beforeLines="20" w:before="48"/>
              <w:rPr>
                <w:color w:val="000000"/>
                <w:sz w:val="22"/>
                <w:szCs w:val="22"/>
              </w:rPr>
            </w:pPr>
            <w:r w:rsidRPr="00800C8F">
              <w:rPr>
                <w:color w:val="000000"/>
                <w:sz w:val="22"/>
                <w:szCs w:val="22"/>
              </w:rPr>
              <w:t>CANYON POWER PLANT UNIT 2</w:t>
            </w:r>
          </w:p>
        </w:tc>
        <w:tc>
          <w:tcPr>
            <w:tcW w:w="1710" w:type="dxa"/>
            <w:tcBorders>
              <w:top w:val="nil"/>
              <w:left w:val="nil"/>
              <w:bottom w:val="single" w:sz="4" w:space="0" w:color="auto"/>
              <w:right w:val="single" w:sz="4" w:space="0" w:color="auto"/>
            </w:tcBorders>
            <w:shd w:val="clear" w:color="auto" w:fill="auto"/>
            <w:noWrap/>
            <w:vAlign w:val="bottom"/>
            <w:hideMark/>
          </w:tcPr>
          <w:p w:rsidR="00C51DD8" w:rsidRPr="00800C8F" w:rsidRDefault="00C51DD8" w:rsidP="00B6489E">
            <w:pPr>
              <w:spacing w:beforeLines="20" w:before="48"/>
              <w:rPr>
                <w:color w:val="000000"/>
                <w:sz w:val="22"/>
                <w:szCs w:val="22"/>
              </w:rPr>
            </w:pPr>
            <w:r w:rsidRPr="00800C8F">
              <w:rPr>
                <w:color w:val="000000"/>
                <w:sz w:val="22"/>
                <w:szCs w:val="22"/>
              </w:rPr>
              <w:t>Peaker</w:t>
            </w:r>
          </w:p>
        </w:tc>
        <w:tc>
          <w:tcPr>
            <w:tcW w:w="1080" w:type="dxa"/>
            <w:tcBorders>
              <w:top w:val="nil"/>
              <w:left w:val="nil"/>
              <w:bottom w:val="single" w:sz="4" w:space="0" w:color="auto"/>
              <w:right w:val="single" w:sz="4" w:space="0" w:color="auto"/>
            </w:tcBorders>
            <w:shd w:val="clear" w:color="auto" w:fill="auto"/>
            <w:noWrap/>
            <w:vAlign w:val="bottom"/>
            <w:hideMark/>
          </w:tcPr>
          <w:p w:rsidR="00C51DD8" w:rsidRPr="00800C8F" w:rsidRDefault="00C51DD8" w:rsidP="00B6489E">
            <w:pPr>
              <w:spacing w:beforeLines="20" w:before="48"/>
              <w:jc w:val="right"/>
              <w:rPr>
                <w:color w:val="000000"/>
                <w:sz w:val="22"/>
                <w:szCs w:val="22"/>
              </w:rPr>
            </w:pPr>
            <w:r w:rsidRPr="00800C8F">
              <w:rPr>
                <w:color w:val="000000"/>
                <w:sz w:val="22"/>
                <w:szCs w:val="22"/>
              </w:rPr>
              <w:t>49.50</w:t>
            </w:r>
          </w:p>
        </w:tc>
      </w:tr>
      <w:tr w:rsidR="00C51DD8" w:rsidTr="00800C8F">
        <w:trPr>
          <w:trHeight w:val="300"/>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rsidR="00C51DD8" w:rsidRPr="00800C8F" w:rsidRDefault="00C51DD8" w:rsidP="00B6489E">
            <w:pPr>
              <w:spacing w:beforeLines="20" w:before="48"/>
              <w:rPr>
                <w:color w:val="000000"/>
                <w:sz w:val="22"/>
                <w:szCs w:val="22"/>
              </w:rPr>
            </w:pPr>
            <w:r w:rsidRPr="00800C8F">
              <w:rPr>
                <w:color w:val="000000"/>
                <w:sz w:val="22"/>
                <w:szCs w:val="22"/>
              </w:rPr>
              <w:t>CANYON POWER PLANT UNIT 3</w:t>
            </w:r>
          </w:p>
        </w:tc>
        <w:tc>
          <w:tcPr>
            <w:tcW w:w="1710" w:type="dxa"/>
            <w:tcBorders>
              <w:top w:val="nil"/>
              <w:left w:val="nil"/>
              <w:bottom w:val="single" w:sz="4" w:space="0" w:color="auto"/>
              <w:right w:val="single" w:sz="4" w:space="0" w:color="auto"/>
            </w:tcBorders>
            <w:shd w:val="clear" w:color="auto" w:fill="auto"/>
            <w:noWrap/>
            <w:vAlign w:val="bottom"/>
            <w:hideMark/>
          </w:tcPr>
          <w:p w:rsidR="00C51DD8" w:rsidRPr="00800C8F" w:rsidRDefault="00C51DD8" w:rsidP="00B6489E">
            <w:pPr>
              <w:spacing w:beforeLines="20" w:before="48"/>
              <w:rPr>
                <w:color w:val="000000"/>
                <w:sz w:val="22"/>
                <w:szCs w:val="22"/>
              </w:rPr>
            </w:pPr>
            <w:r w:rsidRPr="00800C8F">
              <w:rPr>
                <w:color w:val="000000"/>
                <w:sz w:val="22"/>
                <w:szCs w:val="22"/>
              </w:rPr>
              <w:t>Peaker</w:t>
            </w:r>
          </w:p>
        </w:tc>
        <w:tc>
          <w:tcPr>
            <w:tcW w:w="1080" w:type="dxa"/>
            <w:tcBorders>
              <w:top w:val="nil"/>
              <w:left w:val="nil"/>
              <w:bottom w:val="single" w:sz="4" w:space="0" w:color="auto"/>
              <w:right w:val="single" w:sz="4" w:space="0" w:color="auto"/>
            </w:tcBorders>
            <w:shd w:val="clear" w:color="auto" w:fill="auto"/>
            <w:noWrap/>
            <w:vAlign w:val="bottom"/>
            <w:hideMark/>
          </w:tcPr>
          <w:p w:rsidR="00C51DD8" w:rsidRPr="00800C8F" w:rsidRDefault="00C51DD8" w:rsidP="00B6489E">
            <w:pPr>
              <w:spacing w:beforeLines="20" w:before="48"/>
              <w:jc w:val="right"/>
              <w:rPr>
                <w:color w:val="000000"/>
                <w:sz w:val="22"/>
                <w:szCs w:val="22"/>
              </w:rPr>
            </w:pPr>
            <w:r w:rsidRPr="00800C8F">
              <w:rPr>
                <w:color w:val="000000"/>
                <w:sz w:val="22"/>
                <w:szCs w:val="22"/>
              </w:rPr>
              <w:t>49.50</w:t>
            </w:r>
          </w:p>
        </w:tc>
      </w:tr>
      <w:tr w:rsidR="00C51DD8" w:rsidTr="00800C8F">
        <w:trPr>
          <w:trHeight w:val="300"/>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rsidR="00C51DD8" w:rsidRPr="00800C8F" w:rsidRDefault="00C51DD8" w:rsidP="00B6489E">
            <w:pPr>
              <w:spacing w:beforeLines="20" w:before="48"/>
              <w:rPr>
                <w:color w:val="000000"/>
                <w:sz w:val="22"/>
                <w:szCs w:val="22"/>
              </w:rPr>
            </w:pPr>
            <w:r w:rsidRPr="00800C8F">
              <w:rPr>
                <w:color w:val="000000"/>
                <w:sz w:val="22"/>
                <w:szCs w:val="22"/>
              </w:rPr>
              <w:t>CANYON POWER PLANT UNIT 4</w:t>
            </w:r>
          </w:p>
        </w:tc>
        <w:tc>
          <w:tcPr>
            <w:tcW w:w="1710" w:type="dxa"/>
            <w:tcBorders>
              <w:top w:val="nil"/>
              <w:left w:val="nil"/>
              <w:bottom w:val="single" w:sz="4" w:space="0" w:color="auto"/>
              <w:right w:val="single" w:sz="4" w:space="0" w:color="auto"/>
            </w:tcBorders>
            <w:shd w:val="clear" w:color="auto" w:fill="auto"/>
            <w:noWrap/>
            <w:vAlign w:val="bottom"/>
            <w:hideMark/>
          </w:tcPr>
          <w:p w:rsidR="00C51DD8" w:rsidRPr="00800C8F" w:rsidRDefault="00C51DD8" w:rsidP="00B6489E">
            <w:pPr>
              <w:spacing w:beforeLines="20" w:before="48"/>
              <w:rPr>
                <w:color w:val="000000"/>
                <w:sz w:val="22"/>
                <w:szCs w:val="22"/>
              </w:rPr>
            </w:pPr>
            <w:r w:rsidRPr="00800C8F">
              <w:rPr>
                <w:color w:val="000000"/>
                <w:sz w:val="22"/>
                <w:szCs w:val="22"/>
              </w:rPr>
              <w:t>Peaker</w:t>
            </w:r>
          </w:p>
        </w:tc>
        <w:tc>
          <w:tcPr>
            <w:tcW w:w="1080" w:type="dxa"/>
            <w:tcBorders>
              <w:top w:val="nil"/>
              <w:left w:val="nil"/>
              <w:bottom w:val="single" w:sz="4" w:space="0" w:color="auto"/>
              <w:right w:val="single" w:sz="4" w:space="0" w:color="auto"/>
            </w:tcBorders>
            <w:shd w:val="clear" w:color="auto" w:fill="auto"/>
            <w:noWrap/>
            <w:vAlign w:val="bottom"/>
            <w:hideMark/>
          </w:tcPr>
          <w:p w:rsidR="00C51DD8" w:rsidRPr="00800C8F" w:rsidRDefault="00C51DD8" w:rsidP="00B6489E">
            <w:pPr>
              <w:spacing w:beforeLines="20" w:before="48"/>
              <w:jc w:val="right"/>
              <w:rPr>
                <w:color w:val="000000"/>
                <w:sz w:val="22"/>
                <w:szCs w:val="22"/>
              </w:rPr>
            </w:pPr>
            <w:r w:rsidRPr="00800C8F">
              <w:rPr>
                <w:color w:val="000000"/>
                <w:sz w:val="22"/>
                <w:szCs w:val="22"/>
              </w:rPr>
              <w:t>49.50</w:t>
            </w:r>
          </w:p>
        </w:tc>
      </w:tr>
      <w:tr w:rsidR="00C51DD8" w:rsidTr="00800C8F">
        <w:trPr>
          <w:trHeight w:val="300"/>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rsidR="00C51DD8" w:rsidRPr="00800C8F" w:rsidRDefault="00C51DD8" w:rsidP="00B6489E">
            <w:pPr>
              <w:spacing w:beforeLines="20" w:before="48"/>
              <w:rPr>
                <w:color w:val="000000"/>
                <w:sz w:val="22"/>
                <w:szCs w:val="22"/>
              </w:rPr>
            </w:pPr>
            <w:r w:rsidRPr="00800C8F">
              <w:rPr>
                <w:color w:val="000000"/>
                <w:sz w:val="22"/>
                <w:szCs w:val="22"/>
              </w:rPr>
              <w:t>Avenal Park Solar Project</w:t>
            </w:r>
          </w:p>
        </w:tc>
        <w:tc>
          <w:tcPr>
            <w:tcW w:w="1710" w:type="dxa"/>
            <w:tcBorders>
              <w:top w:val="nil"/>
              <w:left w:val="nil"/>
              <w:bottom w:val="single" w:sz="4" w:space="0" w:color="auto"/>
              <w:right w:val="single" w:sz="4" w:space="0" w:color="auto"/>
            </w:tcBorders>
            <w:shd w:val="clear" w:color="auto" w:fill="auto"/>
            <w:noWrap/>
            <w:vAlign w:val="bottom"/>
            <w:hideMark/>
          </w:tcPr>
          <w:p w:rsidR="00C51DD8" w:rsidRPr="00800C8F" w:rsidRDefault="00C51DD8" w:rsidP="00B6489E">
            <w:pPr>
              <w:spacing w:beforeLines="20" w:before="48"/>
              <w:rPr>
                <w:color w:val="000000"/>
                <w:sz w:val="22"/>
                <w:szCs w:val="22"/>
              </w:rPr>
            </w:pPr>
            <w:r w:rsidRPr="00800C8F">
              <w:rPr>
                <w:color w:val="000000"/>
                <w:sz w:val="22"/>
                <w:szCs w:val="22"/>
              </w:rPr>
              <w:t>Solar</w:t>
            </w:r>
          </w:p>
        </w:tc>
        <w:tc>
          <w:tcPr>
            <w:tcW w:w="1080" w:type="dxa"/>
            <w:tcBorders>
              <w:top w:val="nil"/>
              <w:left w:val="nil"/>
              <w:bottom w:val="single" w:sz="4" w:space="0" w:color="auto"/>
              <w:right w:val="single" w:sz="4" w:space="0" w:color="auto"/>
            </w:tcBorders>
            <w:shd w:val="clear" w:color="auto" w:fill="auto"/>
            <w:noWrap/>
            <w:vAlign w:val="bottom"/>
            <w:hideMark/>
          </w:tcPr>
          <w:p w:rsidR="00C51DD8" w:rsidRPr="00800C8F" w:rsidRDefault="00C51DD8" w:rsidP="00B6489E">
            <w:pPr>
              <w:spacing w:beforeLines="20" w:before="48"/>
              <w:jc w:val="right"/>
              <w:rPr>
                <w:color w:val="000000"/>
                <w:sz w:val="22"/>
                <w:szCs w:val="22"/>
              </w:rPr>
            </w:pPr>
            <w:r w:rsidRPr="00800C8F">
              <w:rPr>
                <w:color w:val="000000"/>
                <w:sz w:val="22"/>
                <w:szCs w:val="22"/>
              </w:rPr>
              <w:t>5.03</w:t>
            </w:r>
          </w:p>
        </w:tc>
      </w:tr>
      <w:tr w:rsidR="00C51DD8" w:rsidTr="00800C8F">
        <w:trPr>
          <w:trHeight w:val="300"/>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rsidR="00C51DD8" w:rsidRPr="00800C8F" w:rsidRDefault="00C51DD8" w:rsidP="00B6489E">
            <w:pPr>
              <w:spacing w:beforeLines="20" w:before="48"/>
              <w:rPr>
                <w:color w:val="000000"/>
                <w:sz w:val="22"/>
                <w:szCs w:val="22"/>
              </w:rPr>
            </w:pPr>
            <w:r w:rsidRPr="00800C8F">
              <w:rPr>
                <w:color w:val="000000"/>
                <w:sz w:val="22"/>
                <w:szCs w:val="22"/>
              </w:rPr>
              <w:t>Sand Drag Solar Project</w:t>
            </w:r>
          </w:p>
        </w:tc>
        <w:tc>
          <w:tcPr>
            <w:tcW w:w="1710" w:type="dxa"/>
            <w:tcBorders>
              <w:top w:val="nil"/>
              <w:left w:val="nil"/>
              <w:bottom w:val="single" w:sz="4" w:space="0" w:color="auto"/>
              <w:right w:val="single" w:sz="4" w:space="0" w:color="auto"/>
            </w:tcBorders>
            <w:shd w:val="clear" w:color="auto" w:fill="auto"/>
            <w:noWrap/>
            <w:vAlign w:val="bottom"/>
            <w:hideMark/>
          </w:tcPr>
          <w:p w:rsidR="00C51DD8" w:rsidRPr="00800C8F" w:rsidRDefault="00C51DD8" w:rsidP="00B6489E">
            <w:pPr>
              <w:spacing w:beforeLines="20" w:before="48"/>
              <w:rPr>
                <w:color w:val="000000"/>
                <w:sz w:val="22"/>
                <w:szCs w:val="22"/>
              </w:rPr>
            </w:pPr>
            <w:r w:rsidRPr="00800C8F">
              <w:rPr>
                <w:color w:val="000000"/>
                <w:sz w:val="22"/>
                <w:szCs w:val="22"/>
              </w:rPr>
              <w:t>Solar</w:t>
            </w:r>
          </w:p>
        </w:tc>
        <w:tc>
          <w:tcPr>
            <w:tcW w:w="1080" w:type="dxa"/>
            <w:tcBorders>
              <w:top w:val="nil"/>
              <w:left w:val="nil"/>
              <w:bottom w:val="single" w:sz="4" w:space="0" w:color="auto"/>
              <w:right w:val="single" w:sz="4" w:space="0" w:color="auto"/>
            </w:tcBorders>
            <w:shd w:val="clear" w:color="auto" w:fill="auto"/>
            <w:noWrap/>
            <w:vAlign w:val="bottom"/>
            <w:hideMark/>
          </w:tcPr>
          <w:p w:rsidR="00C51DD8" w:rsidRPr="00800C8F" w:rsidRDefault="00C51DD8" w:rsidP="00B6489E">
            <w:pPr>
              <w:spacing w:beforeLines="20" w:before="48"/>
              <w:jc w:val="right"/>
              <w:rPr>
                <w:color w:val="000000"/>
                <w:sz w:val="22"/>
                <w:szCs w:val="22"/>
              </w:rPr>
            </w:pPr>
            <w:r w:rsidRPr="00800C8F">
              <w:rPr>
                <w:color w:val="000000"/>
                <w:sz w:val="22"/>
                <w:szCs w:val="22"/>
              </w:rPr>
              <w:t>15.94</w:t>
            </w:r>
          </w:p>
        </w:tc>
      </w:tr>
      <w:tr w:rsidR="00C51DD8" w:rsidTr="00800C8F">
        <w:trPr>
          <w:trHeight w:val="300"/>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rsidR="00C51DD8" w:rsidRPr="00800C8F" w:rsidRDefault="00C51DD8" w:rsidP="00B6489E">
            <w:pPr>
              <w:spacing w:beforeLines="20" w:before="48"/>
              <w:rPr>
                <w:color w:val="000000"/>
                <w:sz w:val="22"/>
                <w:szCs w:val="22"/>
              </w:rPr>
            </w:pPr>
            <w:r w:rsidRPr="00800C8F">
              <w:rPr>
                <w:color w:val="000000"/>
                <w:sz w:val="22"/>
                <w:szCs w:val="22"/>
              </w:rPr>
              <w:t>Sun City Solar Project</w:t>
            </w:r>
          </w:p>
        </w:tc>
        <w:tc>
          <w:tcPr>
            <w:tcW w:w="1710" w:type="dxa"/>
            <w:tcBorders>
              <w:top w:val="nil"/>
              <w:left w:val="nil"/>
              <w:bottom w:val="single" w:sz="4" w:space="0" w:color="auto"/>
              <w:right w:val="single" w:sz="4" w:space="0" w:color="auto"/>
            </w:tcBorders>
            <w:shd w:val="clear" w:color="auto" w:fill="auto"/>
            <w:noWrap/>
            <w:vAlign w:val="bottom"/>
            <w:hideMark/>
          </w:tcPr>
          <w:p w:rsidR="00C51DD8" w:rsidRPr="00800C8F" w:rsidRDefault="00C51DD8" w:rsidP="00B6489E">
            <w:pPr>
              <w:spacing w:beforeLines="20" w:before="48"/>
              <w:rPr>
                <w:color w:val="000000"/>
                <w:sz w:val="22"/>
                <w:szCs w:val="22"/>
              </w:rPr>
            </w:pPr>
            <w:r w:rsidRPr="00800C8F">
              <w:rPr>
                <w:color w:val="000000"/>
                <w:sz w:val="22"/>
                <w:szCs w:val="22"/>
              </w:rPr>
              <w:t>Solar</w:t>
            </w:r>
          </w:p>
        </w:tc>
        <w:tc>
          <w:tcPr>
            <w:tcW w:w="1080" w:type="dxa"/>
            <w:tcBorders>
              <w:top w:val="nil"/>
              <w:left w:val="nil"/>
              <w:bottom w:val="single" w:sz="4" w:space="0" w:color="auto"/>
              <w:right w:val="single" w:sz="4" w:space="0" w:color="auto"/>
            </w:tcBorders>
            <w:shd w:val="clear" w:color="auto" w:fill="auto"/>
            <w:noWrap/>
            <w:vAlign w:val="bottom"/>
            <w:hideMark/>
          </w:tcPr>
          <w:p w:rsidR="00C51DD8" w:rsidRPr="00800C8F" w:rsidRDefault="00C51DD8" w:rsidP="00B6489E">
            <w:pPr>
              <w:spacing w:beforeLines="20" w:before="48"/>
              <w:jc w:val="right"/>
              <w:rPr>
                <w:color w:val="000000"/>
                <w:sz w:val="22"/>
                <w:szCs w:val="22"/>
              </w:rPr>
            </w:pPr>
            <w:r w:rsidRPr="00800C8F">
              <w:rPr>
                <w:color w:val="000000"/>
                <w:sz w:val="22"/>
                <w:szCs w:val="22"/>
              </w:rPr>
              <w:t>16.78</w:t>
            </w:r>
          </w:p>
        </w:tc>
      </w:tr>
      <w:tr w:rsidR="00C51DD8" w:rsidTr="00800C8F">
        <w:trPr>
          <w:trHeight w:val="300"/>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rsidR="00C51DD8" w:rsidRPr="00800C8F" w:rsidRDefault="00C51DD8" w:rsidP="00B6489E">
            <w:pPr>
              <w:spacing w:beforeLines="20" w:before="48"/>
              <w:rPr>
                <w:color w:val="000000"/>
                <w:sz w:val="22"/>
                <w:szCs w:val="22"/>
              </w:rPr>
            </w:pPr>
            <w:r w:rsidRPr="00800C8F">
              <w:rPr>
                <w:color w:val="000000"/>
                <w:sz w:val="22"/>
                <w:szCs w:val="22"/>
              </w:rPr>
              <w:t>FPL Energy Montezuma Wind</w:t>
            </w:r>
          </w:p>
        </w:tc>
        <w:tc>
          <w:tcPr>
            <w:tcW w:w="1710" w:type="dxa"/>
            <w:tcBorders>
              <w:top w:val="nil"/>
              <w:left w:val="nil"/>
              <w:bottom w:val="single" w:sz="4" w:space="0" w:color="auto"/>
              <w:right w:val="single" w:sz="4" w:space="0" w:color="auto"/>
            </w:tcBorders>
            <w:shd w:val="clear" w:color="auto" w:fill="auto"/>
            <w:noWrap/>
            <w:vAlign w:val="bottom"/>
            <w:hideMark/>
          </w:tcPr>
          <w:p w:rsidR="00C51DD8" w:rsidRPr="00800C8F" w:rsidRDefault="00C51DD8" w:rsidP="00B6489E">
            <w:pPr>
              <w:spacing w:beforeLines="20" w:before="48"/>
              <w:rPr>
                <w:color w:val="000000"/>
                <w:sz w:val="22"/>
                <w:szCs w:val="22"/>
              </w:rPr>
            </w:pPr>
            <w:r w:rsidRPr="00800C8F">
              <w:rPr>
                <w:color w:val="000000"/>
                <w:sz w:val="22"/>
                <w:szCs w:val="22"/>
              </w:rPr>
              <w:t>Wind</w:t>
            </w:r>
          </w:p>
        </w:tc>
        <w:tc>
          <w:tcPr>
            <w:tcW w:w="1080" w:type="dxa"/>
            <w:tcBorders>
              <w:top w:val="nil"/>
              <w:left w:val="nil"/>
              <w:bottom w:val="single" w:sz="4" w:space="0" w:color="auto"/>
              <w:right w:val="single" w:sz="4" w:space="0" w:color="auto"/>
            </w:tcBorders>
            <w:shd w:val="clear" w:color="auto" w:fill="auto"/>
            <w:noWrap/>
            <w:vAlign w:val="bottom"/>
            <w:hideMark/>
          </w:tcPr>
          <w:p w:rsidR="00C51DD8" w:rsidRPr="00800C8F" w:rsidRDefault="00C51DD8" w:rsidP="00B6489E">
            <w:pPr>
              <w:spacing w:beforeLines="20" w:before="48"/>
              <w:jc w:val="right"/>
              <w:rPr>
                <w:color w:val="000000"/>
                <w:sz w:val="22"/>
                <w:szCs w:val="22"/>
              </w:rPr>
            </w:pPr>
            <w:r w:rsidRPr="00800C8F">
              <w:rPr>
                <w:color w:val="000000"/>
                <w:sz w:val="22"/>
                <w:szCs w:val="22"/>
              </w:rPr>
              <w:t>6.13</w:t>
            </w:r>
          </w:p>
        </w:tc>
      </w:tr>
      <w:tr w:rsidR="00C51DD8" w:rsidTr="00800C8F">
        <w:trPr>
          <w:trHeight w:val="300"/>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rsidR="00C51DD8" w:rsidRPr="00800C8F" w:rsidRDefault="00C51DD8" w:rsidP="00B6489E">
            <w:pPr>
              <w:spacing w:beforeLines="20" w:before="48"/>
              <w:rPr>
                <w:color w:val="000000"/>
                <w:sz w:val="22"/>
                <w:szCs w:val="22"/>
              </w:rPr>
            </w:pPr>
            <w:r w:rsidRPr="00800C8F">
              <w:rPr>
                <w:color w:val="000000"/>
                <w:sz w:val="22"/>
                <w:szCs w:val="22"/>
              </w:rPr>
              <w:t>Shiloh III Wind Project, LLC</w:t>
            </w:r>
          </w:p>
        </w:tc>
        <w:tc>
          <w:tcPr>
            <w:tcW w:w="1710" w:type="dxa"/>
            <w:tcBorders>
              <w:top w:val="nil"/>
              <w:left w:val="nil"/>
              <w:bottom w:val="single" w:sz="4" w:space="0" w:color="auto"/>
              <w:right w:val="single" w:sz="4" w:space="0" w:color="auto"/>
            </w:tcBorders>
            <w:shd w:val="clear" w:color="auto" w:fill="auto"/>
            <w:noWrap/>
            <w:vAlign w:val="bottom"/>
            <w:hideMark/>
          </w:tcPr>
          <w:p w:rsidR="00C51DD8" w:rsidRPr="00800C8F" w:rsidRDefault="00C51DD8" w:rsidP="00B6489E">
            <w:pPr>
              <w:spacing w:beforeLines="20" w:before="48"/>
              <w:rPr>
                <w:color w:val="000000"/>
                <w:sz w:val="22"/>
                <w:szCs w:val="22"/>
              </w:rPr>
            </w:pPr>
            <w:r w:rsidRPr="00800C8F">
              <w:rPr>
                <w:color w:val="000000"/>
                <w:sz w:val="22"/>
                <w:szCs w:val="22"/>
              </w:rPr>
              <w:t>Wind</w:t>
            </w:r>
          </w:p>
        </w:tc>
        <w:tc>
          <w:tcPr>
            <w:tcW w:w="1080" w:type="dxa"/>
            <w:tcBorders>
              <w:top w:val="nil"/>
              <w:left w:val="nil"/>
              <w:bottom w:val="single" w:sz="4" w:space="0" w:color="auto"/>
              <w:right w:val="single" w:sz="4" w:space="0" w:color="auto"/>
            </w:tcBorders>
            <w:shd w:val="clear" w:color="auto" w:fill="auto"/>
            <w:noWrap/>
            <w:vAlign w:val="bottom"/>
            <w:hideMark/>
          </w:tcPr>
          <w:p w:rsidR="00C51DD8" w:rsidRPr="00800C8F" w:rsidRDefault="00C51DD8" w:rsidP="00B6489E">
            <w:pPr>
              <w:spacing w:beforeLines="20" w:before="48"/>
              <w:jc w:val="right"/>
              <w:rPr>
                <w:color w:val="000000"/>
                <w:sz w:val="22"/>
                <w:szCs w:val="22"/>
              </w:rPr>
            </w:pPr>
            <w:r w:rsidRPr="00800C8F">
              <w:rPr>
                <w:color w:val="000000"/>
                <w:sz w:val="22"/>
                <w:szCs w:val="22"/>
              </w:rPr>
              <w:t>16.65</w:t>
            </w:r>
          </w:p>
        </w:tc>
      </w:tr>
      <w:tr w:rsidR="00C51DD8" w:rsidTr="00800C8F">
        <w:trPr>
          <w:trHeight w:val="300"/>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rsidR="00C51DD8" w:rsidRPr="00800C8F" w:rsidRDefault="00C51DD8" w:rsidP="00B6489E">
            <w:pPr>
              <w:spacing w:beforeLines="20" w:before="48"/>
              <w:rPr>
                <w:color w:val="000000"/>
                <w:sz w:val="22"/>
                <w:szCs w:val="22"/>
              </w:rPr>
            </w:pPr>
            <w:r w:rsidRPr="00800C8F">
              <w:rPr>
                <w:color w:val="000000"/>
                <w:sz w:val="22"/>
                <w:szCs w:val="22"/>
              </w:rPr>
              <w:t>CSUEB Fuel Cell Station</w:t>
            </w:r>
          </w:p>
        </w:tc>
        <w:tc>
          <w:tcPr>
            <w:tcW w:w="1710" w:type="dxa"/>
            <w:tcBorders>
              <w:top w:val="nil"/>
              <w:left w:val="nil"/>
              <w:bottom w:val="single" w:sz="4" w:space="0" w:color="auto"/>
              <w:right w:val="single" w:sz="4" w:space="0" w:color="auto"/>
            </w:tcBorders>
            <w:shd w:val="clear" w:color="auto" w:fill="auto"/>
            <w:noWrap/>
            <w:vAlign w:val="bottom"/>
            <w:hideMark/>
          </w:tcPr>
          <w:p w:rsidR="00C51DD8" w:rsidRPr="00800C8F" w:rsidRDefault="00C51DD8" w:rsidP="00B6489E">
            <w:pPr>
              <w:spacing w:beforeLines="20" w:before="48"/>
              <w:rPr>
                <w:color w:val="000000"/>
                <w:sz w:val="22"/>
                <w:szCs w:val="22"/>
              </w:rPr>
            </w:pPr>
            <w:r w:rsidRPr="00800C8F">
              <w:rPr>
                <w:color w:val="000000"/>
                <w:sz w:val="22"/>
                <w:szCs w:val="22"/>
              </w:rPr>
              <w:t>Fuel Cell</w:t>
            </w:r>
          </w:p>
        </w:tc>
        <w:tc>
          <w:tcPr>
            <w:tcW w:w="1080" w:type="dxa"/>
            <w:tcBorders>
              <w:top w:val="nil"/>
              <w:left w:val="nil"/>
              <w:bottom w:val="single" w:sz="4" w:space="0" w:color="auto"/>
              <w:right w:val="single" w:sz="4" w:space="0" w:color="auto"/>
            </w:tcBorders>
            <w:shd w:val="clear" w:color="auto" w:fill="auto"/>
            <w:noWrap/>
            <w:vAlign w:val="bottom"/>
            <w:hideMark/>
          </w:tcPr>
          <w:p w:rsidR="00C51DD8" w:rsidRPr="00800C8F" w:rsidRDefault="00C51DD8" w:rsidP="00B6489E">
            <w:pPr>
              <w:spacing w:beforeLines="20" w:before="48"/>
              <w:jc w:val="right"/>
              <w:rPr>
                <w:color w:val="000000"/>
                <w:sz w:val="22"/>
                <w:szCs w:val="22"/>
              </w:rPr>
            </w:pPr>
            <w:r w:rsidRPr="00800C8F">
              <w:rPr>
                <w:color w:val="000000"/>
                <w:sz w:val="22"/>
                <w:szCs w:val="22"/>
              </w:rPr>
              <w:t>1.55</w:t>
            </w:r>
          </w:p>
        </w:tc>
      </w:tr>
      <w:tr w:rsidR="00C51DD8" w:rsidTr="00800C8F">
        <w:trPr>
          <w:trHeight w:val="300"/>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rsidR="00C51DD8" w:rsidRPr="00800C8F" w:rsidRDefault="00C51DD8" w:rsidP="00B6489E">
            <w:pPr>
              <w:spacing w:beforeLines="20" w:before="48"/>
              <w:rPr>
                <w:color w:val="000000"/>
                <w:sz w:val="22"/>
                <w:szCs w:val="22"/>
              </w:rPr>
            </w:pPr>
            <w:r w:rsidRPr="00800C8F">
              <w:rPr>
                <w:color w:val="000000"/>
                <w:sz w:val="22"/>
                <w:szCs w:val="22"/>
              </w:rPr>
              <w:t>Sycamore Energy 1</w:t>
            </w:r>
          </w:p>
        </w:tc>
        <w:tc>
          <w:tcPr>
            <w:tcW w:w="1710" w:type="dxa"/>
            <w:tcBorders>
              <w:top w:val="nil"/>
              <w:left w:val="nil"/>
              <w:bottom w:val="single" w:sz="4" w:space="0" w:color="auto"/>
              <w:right w:val="single" w:sz="4" w:space="0" w:color="auto"/>
            </w:tcBorders>
            <w:shd w:val="clear" w:color="auto" w:fill="auto"/>
            <w:noWrap/>
            <w:vAlign w:val="bottom"/>
            <w:hideMark/>
          </w:tcPr>
          <w:p w:rsidR="00C51DD8" w:rsidRPr="00800C8F" w:rsidRDefault="00C51DD8" w:rsidP="00B6489E">
            <w:pPr>
              <w:spacing w:beforeLines="20" w:before="48"/>
              <w:rPr>
                <w:color w:val="000000"/>
                <w:sz w:val="22"/>
                <w:szCs w:val="22"/>
              </w:rPr>
            </w:pPr>
            <w:r w:rsidRPr="00800C8F">
              <w:rPr>
                <w:color w:val="000000"/>
                <w:sz w:val="22"/>
                <w:szCs w:val="22"/>
              </w:rPr>
              <w:t>Landfill</w:t>
            </w:r>
          </w:p>
        </w:tc>
        <w:tc>
          <w:tcPr>
            <w:tcW w:w="1080" w:type="dxa"/>
            <w:tcBorders>
              <w:top w:val="nil"/>
              <w:left w:val="nil"/>
              <w:bottom w:val="single" w:sz="4" w:space="0" w:color="auto"/>
              <w:right w:val="single" w:sz="4" w:space="0" w:color="auto"/>
            </w:tcBorders>
            <w:shd w:val="clear" w:color="auto" w:fill="auto"/>
            <w:noWrap/>
            <w:vAlign w:val="bottom"/>
            <w:hideMark/>
          </w:tcPr>
          <w:p w:rsidR="00C51DD8" w:rsidRPr="00800C8F" w:rsidRDefault="00C51DD8" w:rsidP="00B6489E">
            <w:pPr>
              <w:spacing w:beforeLines="20" w:before="48"/>
              <w:jc w:val="right"/>
              <w:rPr>
                <w:color w:val="000000"/>
                <w:sz w:val="22"/>
                <w:szCs w:val="22"/>
              </w:rPr>
            </w:pPr>
            <w:r w:rsidRPr="00800C8F">
              <w:rPr>
                <w:color w:val="000000"/>
                <w:sz w:val="22"/>
                <w:szCs w:val="22"/>
              </w:rPr>
              <w:t>1.90</w:t>
            </w:r>
          </w:p>
        </w:tc>
      </w:tr>
      <w:tr w:rsidR="00C51DD8" w:rsidTr="00800C8F">
        <w:trPr>
          <w:trHeight w:val="300"/>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rsidR="00C51DD8" w:rsidRPr="00800C8F" w:rsidRDefault="00C51DD8" w:rsidP="00B6489E">
            <w:pPr>
              <w:spacing w:beforeLines="20" w:before="48"/>
              <w:rPr>
                <w:color w:val="000000"/>
                <w:sz w:val="22"/>
                <w:szCs w:val="22"/>
              </w:rPr>
            </w:pPr>
            <w:r w:rsidRPr="00800C8F">
              <w:rPr>
                <w:color w:val="000000"/>
                <w:sz w:val="22"/>
                <w:szCs w:val="22"/>
              </w:rPr>
              <w:lastRenderedPageBreak/>
              <w:t>Copper Mountain 10</w:t>
            </w:r>
          </w:p>
        </w:tc>
        <w:tc>
          <w:tcPr>
            <w:tcW w:w="1710" w:type="dxa"/>
            <w:tcBorders>
              <w:top w:val="nil"/>
              <w:left w:val="nil"/>
              <w:bottom w:val="single" w:sz="4" w:space="0" w:color="auto"/>
              <w:right w:val="single" w:sz="4" w:space="0" w:color="auto"/>
            </w:tcBorders>
            <w:shd w:val="clear" w:color="auto" w:fill="auto"/>
            <w:noWrap/>
            <w:vAlign w:val="bottom"/>
            <w:hideMark/>
          </w:tcPr>
          <w:p w:rsidR="00C51DD8" w:rsidRPr="00800C8F" w:rsidRDefault="00C51DD8" w:rsidP="00B6489E">
            <w:pPr>
              <w:spacing w:beforeLines="20" w:before="48"/>
              <w:rPr>
                <w:color w:val="000000"/>
                <w:sz w:val="22"/>
                <w:szCs w:val="22"/>
              </w:rPr>
            </w:pPr>
            <w:r w:rsidRPr="00800C8F">
              <w:rPr>
                <w:color w:val="000000"/>
                <w:sz w:val="22"/>
                <w:szCs w:val="22"/>
              </w:rPr>
              <w:t>Solar</w:t>
            </w:r>
          </w:p>
        </w:tc>
        <w:tc>
          <w:tcPr>
            <w:tcW w:w="1080" w:type="dxa"/>
            <w:tcBorders>
              <w:top w:val="nil"/>
              <w:left w:val="nil"/>
              <w:bottom w:val="single" w:sz="4" w:space="0" w:color="auto"/>
              <w:right w:val="single" w:sz="4" w:space="0" w:color="auto"/>
            </w:tcBorders>
            <w:shd w:val="clear" w:color="auto" w:fill="auto"/>
            <w:noWrap/>
            <w:vAlign w:val="bottom"/>
            <w:hideMark/>
          </w:tcPr>
          <w:p w:rsidR="00C51DD8" w:rsidRPr="00800C8F" w:rsidRDefault="00C51DD8" w:rsidP="00B6489E">
            <w:pPr>
              <w:spacing w:beforeLines="20" w:before="48"/>
              <w:jc w:val="right"/>
              <w:rPr>
                <w:color w:val="000000"/>
                <w:sz w:val="22"/>
                <w:szCs w:val="22"/>
              </w:rPr>
            </w:pPr>
            <w:r w:rsidRPr="00800C8F">
              <w:rPr>
                <w:color w:val="000000"/>
                <w:sz w:val="22"/>
                <w:szCs w:val="22"/>
              </w:rPr>
              <w:t>8.39</w:t>
            </w:r>
          </w:p>
        </w:tc>
      </w:tr>
      <w:tr w:rsidR="00C51DD8" w:rsidTr="00800C8F">
        <w:trPr>
          <w:trHeight w:val="300"/>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rsidR="00C51DD8" w:rsidRPr="00800C8F" w:rsidRDefault="00C51DD8" w:rsidP="00B6489E">
            <w:pPr>
              <w:spacing w:beforeLines="20" w:before="48"/>
              <w:rPr>
                <w:color w:val="000000"/>
                <w:sz w:val="22"/>
                <w:szCs w:val="22"/>
              </w:rPr>
            </w:pPr>
            <w:r w:rsidRPr="00800C8F">
              <w:rPr>
                <w:color w:val="000000"/>
                <w:sz w:val="22"/>
                <w:szCs w:val="22"/>
              </w:rPr>
              <w:t>SF State Fuel Cell Station</w:t>
            </w:r>
          </w:p>
        </w:tc>
        <w:tc>
          <w:tcPr>
            <w:tcW w:w="1710" w:type="dxa"/>
            <w:tcBorders>
              <w:top w:val="nil"/>
              <w:left w:val="nil"/>
              <w:bottom w:val="single" w:sz="4" w:space="0" w:color="auto"/>
              <w:right w:val="single" w:sz="4" w:space="0" w:color="auto"/>
            </w:tcBorders>
            <w:shd w:val="clear" w:color="auto" w:fill="auto"/>
            <w:noWrap/>
            <w:vAlign w:val="bottom"/>
            <w:hideMark/>
          </w:tcPr>
          <w:p w:rsidR="00C51DD8" w:rsidRPr="00800C8F" w:rsidRDefault="00C51DD8" w:rsidP="00B6489E">
            <w:pPr>
              <w:spacing w:beforeLines="20" w:before="48"/>
              <w:rPr>
                <w:color w:val="000000"/>
                <w:sz w:val="22"/>
                <w:szCs w:val="22"/>
              </w:rPr>
            </w:pPr>
            <w:r w:rsidRPr="00800C8F">
              <w:rPr>
                <w:color w:val="000000"/>
                <w:sz w:val="22"/>
                <w:szCs w:val="22"/>
              </w:rPr>
              <w:t>Fuel Cell</w:t>
            </w:r>
          </w:p>
        </w:tc>
        <w:tc>
          <w:tcPr>
            <w:tcW w:w="1080" w:type="dxa"/>
            <w:tcBorders>
              <w:top w:val="nil"/>
              <w:left w:val="nil"/>
              <w:bottom w:val="single" w:sz="4" w:space="0" w:color="auto"/>
              <w:right w:val="single" w:sz="4" w:space="0" w:color="auto"/>
            </w:tcBorders>
            <w:shd w:val="clear" w:color="auto" w:fill="auto"/>
            <w:noWrap/>
            <w:vAlign w:val="bottom"/>
            <w:hideMark/>
          </w:tcPr>
          <w:p w:rsidR="00C51DD8" w:rsidRPr="00800C8F" w:rsidRDefault="00C51DD8" w:rsidP="00B6489E">
            <w:pPr>
              <w:spacing w:beforeLines="20" w:before="48"/>
              <w:jc w:val="right"/>
              <w:rPr>
                <w:color w:val="000000"/>
                <w:sz w:val="22"/>
                <w:szCs w:val="22"/>
              </w:rPr>
            </w:pPr>
            <w:r w:rsidRPr="00800C8F">
              <w:rPr>
                <w:color w:val="000000"/>
                <w:sz w:val="22"/>
                <w:szCs w:val="22"/>
              </w:rPr>
              <w:t>1.75</w:t>
            </w:r>
          </w:p>
        </w:tc>
      </w:tr>
      <w:tr w:rsidR="00C51DD8" w:rsidTr="00800C8F">
        <w:trPr>
          <w:trHeight w:val="300"/>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rsidR="00C51DD8" w:rsidRPr="00800C8F" w:rsidRDefault="00C51DD8" w:rsidP="00B6489E">
            <w:pPr>
              <w:spacing w:beforeLines="20" w:before="48"/>
              <w:rPr>
                <w:color w:val="000000"/>
                <w:sz w:val="22"/>
                <w:szCs w:val="22"/>
              </w:rPr>
            </w:pPr>
            <w:r w:rsidRPr="00800C8F">
              <w:rPr>
                <w:color w:val="000000"/>
                <w:sz w:val="22"/>
                <w:szCs w:val="22"/>
              </w:rPr>
              <w:t>Lake Hodges Pumped Hydro unit 1</w:t>
            </w:r>
          </w:p>
        </w:tc>
        <w:tc>
          <w:tcPr>
            <w:tcW w:w="1710" w:type="dxa"/>
            <w:tcBorders>
              <w:top w:val="nil"/>
              <w:left w:val="nil"/>
              <w:bottom w:val="single" w:sz="4" w:space="0" w:color="auto"/>
              <w:right w:val="single" w:sz="4" w:space="0" w:color="auto"/>
            </w:tcBorders>
            <w:shd w:val="clear" w:color="auto" w:fill="auto"/>
            <w:noWrap/>
            <w:vAlign w:val="bottom"/>
            <w:hideMark/>
          </w:tcPr>
          <w:p w:rsidR="00C51DD8" w:rsidRPr="00800C8F" w:rsidRDefault="00C51DD8" w:rsidP="00B6489E">
            <w:pPr>
              <w:spacing w:beforeLines="20" w:before="48"/>
              <w:rPr>
                <w:color w:val="000000"/>
                <w:sz w:val="22"/>
                <w:szCs w:val="22"/>
              </w:rPr>
            </w:pPr>
            <w:r w:rsidRPr="00800C8F">
              <w:rPr>
                <w:color w:val="000000"/>
                <w:sz w:val="22"/>
                <w:szCs w:val="22"/>
              </w:rPr>
              <w:t>Pumped Hydro</w:t>
            </w:r>
          </w:p>
        </w:tc>
        <w:tc>
          <w:tcPr>
            <w:tcW w:w="1080" w:type="dxa"/>
            <w:tcBorders>
              <w:top w:val="nil"/>
              <w:left w:val="nil"/>
              <w:bottom w:val="single" w:sz="4" w:space="0" w:color="auto"/>
              <w:right w:val="single" w:sz="4" w:space="0" w:color="auto"/>
            </w:tcBorders>
            <w:shd w:val="clear" w:color="auto" w:fill="auto"/>
            <w:noWrap/>
            <w:vAlign w:val="bottom"/>
            <w:hideMark/>
          </w:tcPr>
          <w:p w:rsidR="00C51DD8" w:rsidRPr="00800C8F" w:rsidRDefault="00C51DD8" w:rsidP="00B6489E">
            <w:pPr>
              <w:spacing w:beforeLines="20" w:before="48"/>
              <w:jc w:val="right"/>
              <w:rPr>
                <w:color w:val="000000"/>
                <w:sz w:val="22"/>
                <w:szCs w:val="22"/>
              </w:rPr>
            </w:pPr>
            <w:r w:rsidRPr="00800C8F">
              <w:rPr>
                <w:color w:val="000000"/>
                <w:sz w:val="22"/>
                <w:szCs w:val="22"/>
              </w:rPr>
              <w:t>20.00</w:t>
            </w:r>
          </w:p>
        </w:tc>
      </w:tr>
      <w:tr w:rsidR="00C51DD8" w:rsidTr="00800C8F">
        <w:trPr>
          <w:trHeight w:val="300"/>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rsidR="00C51DD8" w:rsidRPr="00800C8F" w:rsidRDefault="00C51DD8" w:rsidP="00B6489E">
            <w:pPr>
              <w:spacing w:beforeLines="20" w:before="48"/>
              <w:rPr>
                <w:color w:val="000000"/>
                <w:sz w:val="22"/>
                <w:szCs w:val="22"/>
              </w:rPr>
            </w:pPr>
            <w:r w:rsidRPr="00800C8F">
              <w:rPr>
                <w:color w:val="000000"/>
                <w:sz w:val="22"/>
                <w:szCs w:val="22"/>
              </w:rPr>
              <w:t>Ontario RT Solar</w:t>
            </w:r>
          </w:p>
        </w:tc>
        <w:tc>
          <w:tcPr>
            <w:tcW w:w="1710" w:type="dxa"/>
            <w:tcBorders>
              <w:top w:val="nil"/>
              <w:left w:val="nil"/>
              <w:bottom w:val="single" w:sz="4" w:space="0" w:color="auto"/>
              <w:right w:val="single" w:sz="4" w:space="0" w:color="auto"/>
            </w:tcBorders>
            <w:shd w:val="clear" w:color="auto" w:fill="auto"/>
            <w:noWrap/>
            <w:vAlign w:val="bottom"/>
            <w:hideMark/>
          </w:tcPr>
          <w:p w:rsidR="00C51DD8" w:rsidRPr="00800C8F" w:rsidRDefault="00C51DD8" w:rsidP="00B6489E">
            <w:pPr>
              <w:spacing w:beforeLines="20" w:before="48"/>
              <w:rPr>
                <w:color w:val="000000"/>
                <w:sz w:val="22"/>
                <w:szCs w:val="22"/>
              </w:rPr>
            </w:pPr>
            <w:r w:rsidRPr="00800C8F">
              <w:rPr>
                <w:color w:val="000000"/>
                <w:sz w:val="22"/>
                <w:szCs w:val="22"/>
              </w:rPr>
              <w:t>Solar</w:t>
            </w:r>
          </w:p>
        </w:tc>
        <w:tc>
          <w:tcPr>
            <w:tcW w:w="1080" w:type="dxa"/>
            <w:tcBorders>
              <w:top w:val="nil"/>
              <w:left w:val="nil"/>
              <w:bottom w:val="single" w:sz="4" w:space="0" w:color="auto"/>
              <w:right w:val="single" w:sz="4" w:space="0" w:color="auto"/>
            </w:tcBorders>
            <w:shd w:val="clear" w:color="auto" w:fill="auto"/>
            <w:noWrap/>
            <w:vAlign w:val="bottom"/>
            <w:hideMark/>
          </w:tcPr>
          <w:p w:rsidR="00C51DD8" w:rsidRPr="00800C8F" w:rsidRDefault="00C51DD8" w:rsidP="00B6489E">
            <w:pPr>
              <w:spacing w:beforeLines="20" w:before="48"/>
              <w:jc w:val="right"/>
              <w:rPr>
                <w:color w:val="000000"/>
                <w:sz w:val="22"/>
                <w:szCs w:val="22"/>
              </w:rPr>
            </w:pPr>
            <w:r w:rsidRPr="00800C8F">
              <w:rPr>
                <w:color w:val="000000"/>
                <w:sz w:val="22"/>
                <w:szCs w:val="22"/>
              </w:rPr>
              <w:t>4.19</w:t>
            </w:r>
          </w:p>
        </w:tc>
      </w:tr>
      <w:tr w:rsidR="00C51DD8" w:rsidTr="00800C8F">
        <w:trPr>
          <w:trHeight w:val="300"/>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rsidR="00C51DD8" w:rsidRPr="00800C8F" w:rsidRDefault="00C51DD8" w:rsidP="00B6489E">
            <w:pPr>
              <w:spacing w:beforeLines="20" w:before="48"/>
              <w:rPr>
                <w:color w:val="000000"/>
                <w:sz w:val="22"/>
                <w:szCs w:val="22"/>
              </w:rPr>
            </w:pPr>
            <w:r w:rsidRPr="00800C8F">
              <w:rPr>
                <w:color w:val="000000"/>
                <w:sz w:val="22"/>
                <w:szCs w:val="22"/>
              </w:rPr>
              <w:t>Riverside Energy Res. Ctr Unit 3</w:t>
            </w:r>
          </w:p>
        </w:tc>
        <w:tc>
          <w:tcPr>
            <w:tcW w:w="1710" w:type="dxa"/>
            <w:tcBorders>
              <w:top w:val="nil"/>
              <w:left w:val="nil"/>
              <w:bottom w:val="single" w:sz="4" w:space="0" w:color="auto"/>
              <w:right w:val="single" w:sz="4" w:space="0" w:color="auto"/>
            </w:tcBorders>
            <w:shd w:val="clear" w:color="auto" w:fill="auto"/>
            <w:noWrap/>
            <w:vAlign w:val="bottom"/>
            <w:hideMark/>
          </w:tcPr>
          <w:p w:rsidR="00C51DD8" w:rsidRPr="00800C8F" w:rsidRDefault="00C51DD8" w:rsidP="00B6489E">
            <w:pPr>
              <w:spacing w:beforeLines="20" w:before="48"/>
              <w:rPr>
                <w:color w:val="000000"/>
                <w:sz w:val="22"/>
                <w:szCs w:val="22"/>
              </w:rPr>
            </w:pPr>
            <w:r w:rsidRPr="00800C8F">
              <w:rPr>
                <w:color w:val="000000"/>
                <w:sz w:val="22"/>
                <w:szCs w:val="22"/>
              </w:rPr>
              <w:t>Peaker</w:t>
            </w:r>
          </w:p>
        </w:tc>
        <w:tc>
          <w:tcPr>
            <w:tcW w:w="1080" w:type="dxa"/>
            <w:tcBorders>
              <w:top w:val="nil"/>
              <w:left w:val="nil"/>
              <w:bottom w:val="single" w:sz="4" w:space="0" w:color="auto"/>
              <w:right w:val="single" w:sz="4" w:space="0" w:color="auto"/>
            </w:tcBorders>
            <w:shd w:val="clear" w:color="auto" w:fill="auto"/>
            <w:noWrap/>
            <w:vAlign w:val="bottom"/>
            <w:hideMark/>
          </w:tcPr>
          <w:p w:rsidR="00C51DD8" w:rsidRPr="00800C8F" w:rsidRDefault="00C51DD8" w:rsidP="00B6489E">
            <w:pPr>
              <w:spacing w:beforeLines="20" w:before="48"/>
              <w:jc w:val="right"/>
              <w:rPr>
                <w:color w:val="000000"/>
                <w:sz w:val="22"/>
                <w:szCs w:val="22"/>
              </w:rPr>
            </w:pPr>
            <w:r w:rsidRPr="00800C8F">
              <w:rPr>
                <w:color w:val="000000"/>
                <w:sz w:val="22"/>
                <w:szCs w:val="22"/>
              </w:rPr>
              <w:t>49.50</w:t>
            </w:r>
          </w:p>
        </w:tc>
      </w:tr>
      <w:tr w:rsidR="00C51DD8" w:rsidTr="00800C8F">
        <w:trPr>
          <w:trHeight w:val="300"/>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rsidR="00C51DD8" w:rsidRPr="00800C8F" w:rsidRDefault="00C51DD8" w:rsidP="00B6489E">
            <w:pPr>
              <w:spacing w:beforeLines="20" w:before="48"/>
              <w:rPr>
                <w:color w:val="000000"/>
                <w:sz w:val="22"/>
                <w:szCs w:val="22"/>
              </w:rPr>
            </w:pPr>
            <w:r w:rsidRPr="00800C8F">
              <w:rPr>
                <w:color w:val="000000"/>
                <w:sz w:val="22"/>
                <w:szCs w:val="22"/>
              </w:rPr>
              <w:t>Riverside Energy Res. Ctr Unit 4</w:t>
            </w:r>
          </w:p>
        </w:tc>
        <w:tc>
          <w:tcPr>
            <w:tcW w:w="1710" w:type="dxa"/>
            <w:tcBorders>
              <w:top w:val="nil"/>
              <w:left w:val="nil"/>
              <w:bottom w:val="single" w:sz="4" w:space="0" w:color="auto"/>
              <w:right w:val="single" w:sz="4" w:space="0" w:color="auto"/>
            </w:tcBorders>
            <w:shd w:val="clear" w:color="auto" w:fill="auto"/>
            <w:noWrap/>
            <w:vAlign w:val="bottom"/>
            <w:hideMark/>
          </w:tcPr>
          <w:p w:rsidR="00C51DD8" w:rsidRPr="00800C8F" w:rsidRDefault="00C51DD8" w:rsidP="00B6489E">
            <w:pPr>
              <w:spacing w:beforeLines="20" w:before="48"/>
              <w:rPr>
                <w:color w:val="000000"/>
                <w:sz w:val="22"/>
                <w:szCs w:val="22"/>
              </w:rPr>
            </w:pPr>
            <w:r w:rsidRPr="00800C8F">
              <w:rPr>
                <w:color w:val="000000"/>
                <w:sz w:val="22"/>
                <w:szCs w:val="22"/>
              </w:rPr>
              <w:t>Peaker</w:t>
            </w:r>
          </w:p>
        </w:tc>
        <w:tc>
          <w:tcPr>
            <w:tcW w:w="1080" w:type="dxa"/>
            <w:tcBorders>
              <w:top w:val="nil"/>
              <w:left w:val="nil"/>
              <w:bottom w:val="single" w:sz="4" w:space="0" w:color="auto"/>
              <w:right w:val="single" w:sz="4" w:space="0" w:color="auto"/>
            </w:tcBorders>
            <w:shd w:val="clear" w:color="auto" w:fill="auto"/>
            <w:noWrap/>
            <w:vAlign w:val="bottom"/>
            <w:hideMark/>
          </w:tcPr>
          <w:p w:rsidR="00C51DD8" w:rsidRPr="00800C8F" w:rsidRDefault="00C51DD8" w:rsidP="00B6489E">
            <w:pPr>
              <w:spacing w:beforeLines="20" w:before="48"/>
              <w:jc w:val="right"/>
              <w:rPr>
                <w:color w:val="000000"/>
                <w:sz w:val="22"/>
                <w:szCs w:val="22"/>
              </w:rPr>
            </w:pPr>
            <w:r w:rsidRPr="00800C8F">
              <w:rPr>
                <w:color w:val="000000"/>
                <w:sz w:val="22"/>
                <w:szCs w:val="22"/>
              </w:rPr>
              <w:t>49.50</w:t>
            </w:r>
          </w:p>
        </w:tc>
      </w:tr>
      <w:tr w:rsidR="00C51DD8" w:rsidTr="00800C8F">
        <w:trPr>
          <w:trHeight w:val="300"/>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rsidR="00C51DD8" w:rsidRPr="00800C8F" w:rsidRDefault="00C51DD8" w:rsidP="00B6489E">
            <w:pPr>
              <w:spacing w:beforeLines="20" w:before="48"/>
              <w:rPr>
                <w:color w:val="000000"/>
                <w:sz w:val="22"/>
                <w:szCs w:val="22"/>
              </w:rPr>
            </w:pPr>
            <w:r w:rsidRPr="00800C8F">
              <w:rPr>
                <w:color w:val="000000"/>
                <w:sz w:val="22"/>
                <w:szCs w:val="22"/>
              </w:rPr>
              <w:t>Redlands RT Solar</w:t>
            </w:r>
          </w:p>
        </w:tc>
        <w:tc>
          <w:tcPr>
            <w:tcW w:w="1710" w:type="dxa"/>
            <w:tcBorders>
              <w:top w:val="nil"/>
              <w:left w:val="nil"/>
              <w:bottom w:val="single" w:sz="4" w:space="0" w:color="auto"/>
              <w:right w:val="single" w:sz="4" w:space="0" w:color="auto"/>
            </w:tcBorders>
            <w:shd w:val="clear" w:color="auto" w:fill="auto"/>
            <w:noWrap/>
            <w:vAlign w:val="bottom"/>
            <w:hideMark/>
          </w:tcPr>
          <w:p w:rsidR="00C51DD8" w:rsidRPr="00800C8F" w:rsidRDefault="00C51DD8" w:rsidP="00B6489E">
            <w:pPr>
              <w:spacing w:beforeLines="20" w:before="48"/>
              <w:rPr>
                <w:color w:val="000000"/>
                <w:sz w:val="22"/>
                <w:szCs w:val="22"/>
              </w:rPr>
            </w:pPr>
            <w:r w:rsidRPr="00800C8F">
              <w:rPr>
                <w:color w:val="000000"/>
                <w:sz w:val="22"/>
                <w:szCs w:val="22"/>
              </w:rPr>
              <w:t>Solar</w:t>
            </w:r>
          </w:p>
        </w:tc>
        <w:tc>
          <w:tcPr>
            <w:tcW w:w="1080" w:type="dxa"/>
            <w:tcBorders>
              <w:top w:val="nil"/>
              <w:left w:val="nil"/>
              <w:bottom w:val="single" w:sz="4" w:space="0" w:color="auto"/>
              <w:right w:val="single" w:sz="4" w:space="0" w:color="auto"/>
            </w:tcBorders>
            <w:shd w:val="clear" w:color="auto" w:fill="auto"/>
            <w:noWrap/>
            <w:vAlign w:val="bottom"/>
            <w:hideMark/>
          </w:tcPr>
          <w:p w:rsidR="00C51DD8" w:rsidRPr="00800C8F" w:rsidRDefault="00C51DD8" w:rsidP="00B6489E">
            <w:pPr>
              <w:spacing w:beforeLines="20" w:before="48"/>
              <w:jc w:val="right"/>
              <w:rPr>
                <w:color w:val="000000"/>
                <w:sz w:val="22"/>
                <w:szCs w:val="22"/>
              </w:rPr>
            </w:pPr>
            <w:r w:rsidRPr="00800C8F">
              <w:rPr>
                <w:color w:val="000000"/>
                <w:sz w:val="22"/>
                <w:szCs w:val="22"/>
              </w:rPr>
              <w:t>2.10</w:t>
            </w:r>
          </w:p>
        </w:tc>
      </w:tr>
      <w:tr w:rsidR="00C51DD8" w:rsidTr="00800C8F">
        <w:trPr>
          <w:trHeight w:val="300"/>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rsidR="00C51DD8" w:rsidRPr="00800C8F" w:rsidRDefault="00C51DD8" w:rsidP="00B6489E">
            <w:pPr>
              <w:spacing w:beforeLines="20" w:before="48"/>
              <w:rPr>
                <w:color w:val="000000"/>
                <w:sz w:val="22"/>
                <w:szCs w:val="22"/>
              </w:rPr>
            </w:pPr>
            <w:r w:rsidRPr="00800C8F">
              <w:rPr>
                <w:color w:val="000000"/>
                <w:sz w:val="22"/>
                <w:szCs w:val="22"/>
              </w:rPr>
              <w:t>Westside Solar Station</w:t>
            </w:r>
          </w:p>
        </w:tc>
        <w:tc>
          <w:tcPr>
            <w:tcW w:w="1710" w:type="dxa"/>
            <w:tcBorders>
              <w:top w:val="nil"/>
              <w:left w:val="nil"/>
              <w:bottom w:val="single" w:sz="4" w:space="0" w:color="auto"/>
              <w:right w:val="single" w:sz="4" w:space="0" w:color="auto"/>
            </w:tcBorders>
            <w:shd w:val="clear" w:color="auto" w:fill="auto"/>
            <w:noWrap/>
            <w:vAlign w:val="bottom"/>
            <w:hideMark/>
          </w:tcPr>
          <w:p w:rsidR="00C51DD8" w:rsidRPr="00800C8F" w:rsidRDefault="00C51DD8" w:rsidP="00B6489E">
            <w:pPr>
              <w:spacing w:beforeLines="20" w:before="48"/>
              <w:rPr>
                <w:color w:val="000000"/>
                <w:sz w:val="22"/>
                <w:szCs w:val="22"/>
              </w:rPr>
            </w:pPr>
            <w:r w:rsidRPr="00800C8F">
              <w:rPr>
                <w:color w:val="000000"/>
                <w:sz w:val="22"/>
                <w:szCs w:val="22"/>
              </w:rPr>
              <w:t>Solar</w:t>
            </w:r>
          </w:p>
        </w:tc>
        <w:tc>
          <w:tcPr>
            <w:tcW w:w="1080" w:type="dxa"/>
            <w:tcBorders>
              <w:top w:val="nil"/>
              <w:left w:val="nil"/>
              <w:bottom w:val="single" w:sz="4" w:space="0" w:color="auto"/>
              <w:right w:val="single" w:sz="4" w:space="0" w:color="auto"/>
            </w:tcBorders>
            <w:shd w:val="clear" w:color="auto" w:fill="auto"/>
            <w:noWrap/>
            <w:vAlign w:val="bottom"/>
            <w:hideMark/>
          </w:tcPr>
          <w:p w:rsidR="00C51DD8" w:rsidRPr="00800C8F" w:rsidRDefault="00C51DD8" w:rsidP="00B6489E">
            <w:pPr>
              <w:spacing w:beforeLines="20" w:before="48"/>
              <w:jc w:val="right"/>
              <w:rPr>
                <w:color w:val="000000"/>
                <w:sz w:val="22"/>
                <w:szCs w:val="22"/>
              </w:rPr>
            </w:pPr>
            <w:r w:rsidRPr="00800C8F">
              <w:rPr>
                <w:color w:val="000000"/>
                <w:sz w:val="22"/>
                <w:szCs w:val="22"/>
              </w:rPr>
              <w:t>12.58</w:t>
            </w:r>
          </w:p>
        </w:tc>
      </w:tr>
      <w:tr w:rsidR="00C51DD8" w:rsidTr="00800C8F">
        <w:trPr>
          <w:trHeight w:val="300"/>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rsidR="00C51DD8" w:rsidRPr="00800C8F" w:rsidRDefault="00C51DD8" w:rsidP="00B6489E">
            <w:pPr>
              <w:spacing w:beforeLines="20" w:before="48"/>
              <w:rPr>
                <w:color w:val="000000"/>
                <w:sz w:val="22"/>
                <w:szCs w:val="22"/>
              </w:rPr>
            </w:pPr>
            <w:r w:rsidRPr="00800C8F">
              <w:rPr>
                <w:color w:val="000000"/>
                <w:sz w:val="22"/>
                <w:szCs w:val="22"/>
              </w:rPr>
              <w:t>San Marcos Energy</w:t>
            </w:r>
          </w:p>
        </w:tc>
        <w:tc>
          <w:tcPr>
            <w:tcW w:w="1710" w:type="dxa"/>
            <w:tcBorders>
              <w:top w:val="nil"/>
              <w:left w:val="nil"/>
              <w:bottom w:val="single" w:sz="4" w:space="0" w:color="auto"/>
              <w:right w:val="single" w:sz="4" w:space="0" w:color="auto"/>
            </w:tcBorders>
            <w:shd w:val="clear" w:color="auto" w:fill="auto"/>
            <w:noWrap/>
            <w:vAlign w:val="bottom"/>
            <w:hideMark/>
          </w:tcPr>
          <w:p w:rsidR="00C51DD8" w:rsidRPr="00800C8F" w:rsidRDefault="00C51DD8" w:rsidP="00B6489E">
            <w:pPr>
              <w:spacing w:beforeLines="20" w:before="48"/>
              <w:rPr>
                <w:color w:val="000000"/>
                <w:sz w:val="22"/>
                <w:szCs w:val="22"/>
              </w:rPr>
            </w:pPr>
            <w:r w:rsidRPr="00800C8F">
              <w:rPr>
                <w:color w:val="000000"/>
                <w:sz w:val="22"/>
                <w:szCs w:val="22"/>
              </w:rPr>
              <w:t>Landfill</w:t>
            </w:r>
          </w:p>
        </w:tc>
        <w:tc>
          <w:tcPr>
            <w:tcW w:w="1080" w:type="dxa"/>
            <w:tcBorders>
              <w:top w:val="nil"/>
              <w:left w:val="nil"/>
              <w:bottom w:val="single" w:sz="4" w:space="0" w:color="auto"/>
              <w:right w:val="single" w:sz="4" w:space="0" w:color="auto"/>
            </w:tcBorders>
            <w:shd w:val="clear" w:color="auto" w:fill="auto"/>
            <w:noWrap/>
            <w:vAlign w:val="bottom"/>
            <w:hideMark/>
          </w:tcPr>
          <w:p w:rsidR="00C51DD8" w:rsidRPr="00800C8F" w:rsidRDefault="00C51DD8" w:rsidP="00B6489E">
            <w:pPr>
              <w:spacing w:beforeLines="20" w:before="48"/>
              <w:jc w:val="right"/>
              <w:rPr>
                <w:color w:val="000000"/>
                <w:sz w:val="22"/>
                <w:szCs w:val="22"/>
              </w:rPr>
            </w:pPr>
            <w:r w:rsidRPr="00800C8F">
              <w:rPr>
                <w:color w:val="000000"/>
                <w:sz w:val="22"/>
                <w:szCs w:val="22"/>
              </w:rPr>
              <w:t>1.60</w:t>
            </w:r>
          </w:p>
        </w:tc>
      </w:tr>
      <w:tr w:rsidR="00C51DD8" w:rsidTr="00800C8F">
        <w:trPr>
          <w:trHeight w:val="300"/>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rsidR="00C51DD8" w:rsidRPr="00800C8F" w:rsidRDefault="00C51DD8" w:rsidP="00B6489E">
            <w:pPr>
              <w:spacing w:beforeLines="20" w:before="48"/>
              <w:rPr>
                <w:color w:val="000000"/>
                <w:sz w:val="22"/>
                <w:szCs w:val="22"/>
              </w:rPr>
            </w:pPr>
            <w:r w:rsidRPr="00800C8F">
              <w:rPr>
                <w:color w:val="000000"/>
                <w:sz w:val="22"/>
                <w:szCs w:val="22"/>
              </w:rPr>
              <w:t>SIERRA PACIFIC IND. (ANDERSON)</w:t>
            </w:r>
          </w:p>
        </w:tc>
        <w:tc>
          <w:tcPr>
            <w:tcW w:w="1710" w:type="dxa"/>
            <w:tcBorders>
              <w:top w:val="nil"/>
              <w:left w:val="nil"/>
              <w:bottom w:val="single" w:sz="4" w:space="0" w:color="auto"/>
              <w:right w:val="single" w:sz="4" w:space="0" w:color="auto"/>
            </w:tcBorders>
            <w:shd w:val="clear" w:color="auto" w:fill="auto"/>
            <w:noWrap/>
            <w:vAlign w:val="bottom"/>
            <w:hideMark/>
          </w:tcPr>
          <w:p w:rsidR="00C51DD8" w:rsidRPr="00800C8F" w:rsidRDefault="00C51DD8" w:rsidP="00B6489E">
            <w:pPr>
              <w:spacing w:beforeLines="20" w:before="48"/>
              <w:rPr>
                <w:color w:val="000000"/>
                <w:sz w:val="22"/>
                <w:szCs w:val="22"/>
              </w:rPr>
            </w:pPr>
            <w:r w:rsidRPr="00800C8F">
              <w:rPr>
                <w:color w:val="000000"/>
                <w:sz w:val="22"/>
                <w:szCs w:val="22"/>
              </w:rPr>
              <w:t>Biomass</w:t>
            </w:r>
          </w:p>
        </w:tc>
        <w:tc>
          <w:tcPr>
            <w:tcW w:w="1080" w:type="dxa"/>
            <w:tcBorders>
              <w:top w:val="nil"/>
              <w:left w:val="nil"/>
              <w:bottom w:val="single" w:sz="4" w:space="0" w:color="auto"/>
              <w:right w:val="single" w:sz="4" w:space="0" w:color="auto"/>
            </w:tcBorders>
            <w:shd w:val="clear" w:color="auto" w:fill="auto"/>
            <w:noWrap/>
            <w:vAlign w:val="bottom"/>
            <w:hideMark/>
          </w:tcPr>
          <w:p w:rsidR="00C51DD8" w:rsidRPr="00800C8F" w:rsidRDefault="00C51DD8" w:rsidP="00B6489E">
            <w:pPr>
              <w:spacing w:beforeLines="20" w:before="48"/>
              <w:jc w:val="right"/>
              <w:rPr>
                <w:color w:val="000000"/>
                <w:sz w:val="22"/>
                <w:szCs w:val="22"/>
              </w:rPr>
            </w:pPr>
            <w:r w:rsidRPr="00800C8F">
              <w:rPr>
                <w:color w:val="000000"/>
                <w:sz w:val="22"/>
                <w:szCs w:val="22"/>
              </w:rPr>
              <w:t>5.00</w:t>
            </w:r>
          </w:p>
        </w:tc>
      </w:tr>
      <w:tr w:rsidR="00C51DD8" w:rsidTr="00800C8F">
        <w:trPr>
          <w:trHeight w:val="300"/>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rsidR="00C51DD8" w:rsidRPr="00800C8F" w:rsidRDefault="00C51DD8" w:rsidP="00B6489E">
            <w:pPr>
              <w:spacing w:beforeLines="20" w:before="48"/>
              <w:rPr>
                <w:color w:val="000000"/>
                <w:sz w:val="22"/>
                <w:szCs w:val="22"/>
              </w:rPr>
            </w:pPr>
            <w:r w:rsidRPr="00800C8F">
              <w:rPr>
                <w:color w:val="000000"/>
                <w:sz w:val="22"/>
                <w:szCs w:val="22"/>
              </w:rPr>
              <w:t>Stroud Solar Station</w:t>
            </w:r>
          </w:p>
        </w:tc>
        <w:tc>
          <w:tcPr>
            <w:tcW w:w="1710" w:type="dxa"/>
            <w:tcBorders>
              <w:top w:val="nil"/>
              <w:left w:val="nil"/>
              <w:bottom w:val="single" w:sz="4" w:space="0" w:color="auto"/>
              <w:right w:val="single" w:sz="4" w:space="0" w:color="auto"/>
            </w:tcBorders>
            <w:shd w:val="clear" w:color="auto" w:fill="auto"/>
            <w:noWrap/>
            <w:vAlign w:val="bottom"/>
            <w:hideMark/>
          </w:tcPr>
          <w:p w:rsidR="00C51DD8" w:rsidRPr="00800C8F" w:rsidRDefault="00C51DD8" w:rsidP="00B6489E">
            <w:pPr>
              <w:spacing w:beforeLines="20" w:before="48"/>
              <w:rPr>
                <w:color w:val="000000"/>
                <w:sz w:val="22"/>
                <w:szCs w:val="22"/>
              </w:rPr>
            </w:pPr>
            <w:r w:rsidRPr="00800C8F">
              <w:rPr>
                <w:color w:val="000000"/>
                <w:sz w:val="22"/>
                <w:szCs w:val="22"/>
              </w:rPr>
              <w:t>Solar</w:t>
            </w:r>
          </w:p>
        </w:tc>
        <w:tc>
          <w:tcPr>
            <w:tcW w:w="1080" w:type="dxa"/>
            <w:tcBorders>
              <w:top w:val="nil"/>
              <w:left w:val="nil"/>
              <w:bottom w:val="single" w:sz="4" w:space="0" w:color="auto"/>
              <w:right w:val="single" w:sz="4" w:space="0" w:color="auto"/>
            </w:tcBorders>
            <w:shd w:val="clear" w:color="auto" w:fill="auto"/>
            <w:noWrap/>
            <w:vAlign w:val="bottom"/>
            <w:hideMark/>
          </w:tcPr>
          <w:p w:rsidR="00C51DD8" w:rsidRPr="00800C8F" w:rsidRDefault="00C51DD8" w:rsidP="00B6489E">
            <w:pPr>
              <w:spacing w:beforeLines="20" w:before="48"/>
              <w:jc w:val="right"/>
              <w:rPr>
                <w:color w:val="000000"/>
                <w:sz w:val="22"/>
                <w:szCs w:val="22"/>
              </w:rPr>
            </w:pPr>
            <w:r w:rsidRPr="00800C8F">
              <w:rPr>
                <w:color w:val="000000"/>
                <w:sz w:val="22"/>
                <w:szCs w:val="22"/>
              </w:rPr>
              <w:t>16.78</w:t>
            </w:r>
          </w:p>
        </w:tc>
      </w:tr>
      <w:tr w:rsidR="00C51DD8" w:rsidTr="00800C8F">
        <w:trPr>
          <w:trHeight w:val="300"/>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rsidR="00C51DD8" w:rsidRPr="00800C8F" w:rsidRDefault="00C51DD8" w:rsidP="00B6489E">
            <w:pPr>
              <w:spacing w:beforeLines="20" w:before="48"/>
              <w:rPr>
                <w:color w:val="000000"/>
                <w:sz w:val="22"/>
                <w:szCs w:val="22"/>
              </w:rPr>
            </w:pPr>
            <w:r w:rsidRPr="00800C8F">
              <w:rPr>
                <w:color w:val="000000"/>
                <w:sz w:val="22"/>
                <w:szCs w:val="22"/>
              </w:rPr>
              <w:t>Rialto RT Solar</w:t>
            </w:r>
          </w:p>
        </w:tc>
        <w:tc>
          <w:tcPr>
            <w:tcW w:w="1710" w:type="dxa"/>
            <w:tcBorders>
              <w:top w:val="nil"/>
              <w:left w:val="nil"/>
              <w:bottom w:val="single" w:sz="4" w:space="0" w:color="auto"/>
              <w:right w:val="single" w:sz="4" w:space="0" w:color="auto"/>
            </w:tcBorders>
            <w:shd w:val="clear" w:color="auto" w:fill="auto"/>
            <w:noWrap/>
            <w:vAlign w:val="bottom"/>
            <w:hideMark/>
          </w:tcPr>
          <w:p w:rsidR="00C51DD8" w:rsidRPr="00800C8F" w:rsidRDefault="00C51DD8" w:rsidP="00B6489E">
            <w:pPr>
              <w:spacing w:beforeLines="20" w:before="48"/>
              <w:rPr>
                <w:color w:val="000000"/>
                <w:sz w:val="22"/>
                <w:szCs w:val="22"/>
              </w:rPr>
            </w:pPr>
            <w:r w:rsidRPr="00800C8F">
              <w:rPr>
                <w:color w:val="000000"/>
                <w:sz w:val="22"/>
                <w:szCs w:val="22"/>
              </w:rPr>
              <w:t>Solar</w:t>
            </w:r>
          </w:p>
        </w:tc>
        <w:tc>
          <w:tcPr>
            <w:tcW w:w="1080" w:type="dxa"/>
            <w:tcBorders>
              <w:top w:val="nil"/>
              <w:left w:val="nil"/>
              <w:bottom w:val="single" w:sz="4" w:space="0" w:color="auto"/>
              <w:right w:val="single" w:sz="4" w:space="0" w:color="auto"/>
            </w:tcBorders>
            <w:shd w:val="clear" w:color="auto" w:fill="auto"/>
            <w:noWrap/>
            <w:vAlign w:val="bottom"/>
            <w:hideMark/>
          </w:tcPr>
          <w:p w:rsidR="00C51DD8" w:rsidRPr="00800C8F" w:rsidRDefault="00C51DD8" w:rsidP="00B6489E">
            <w:pPr>
              <w:spacing w:beforeLines="20" w:before="48"/>
              <w:jc w:val="right"/>
              <w:rPr>
                <w:color w:val="000000"/>
                <w:sz w:val="22"/>
                <w:szCs w:val="22"/>
              </w:rPr>
            </w:pPr>
            <w:r w:rsidRPr="00800C8F">
              <w:rPr>
                <w:color w:val="000000"/>
                <w:sz w:val="22"/>
                <w:szCs w:val="22"/>
              </w:rPr>
              <w:t>0.84</w:t>
            </w:r>
          </w:p>
        </w:tc>
      </w:tr>
      <w:tr w:rsidR="00C51DD8" w:rsidTr="00800C8F">
        <w:trPr>
          <w:trHeight w:val="64"/>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rsidR="00C51DD8" w:rsidRPr="00B6489E" w:rsidRDefault="00C51DD8" w:rsidP="00B07A8B">
            <w:pPr>
              <w:spacing w:before="120"/>
              <w:rPr>
                <w:b/>
                <w:color w:val="000000"/>
                <w:sz w:val="22"/>
                <w:szCs w:val="22"/>
              </w:rPr>
            </w:pPr>
            <w:r w:rsidRPr="00B6489E">
              <w:rPr>
                <w:b/>
                <w:color w:val="000000"/>
                <w:sz w:val="22"/>
                <w:szCs w:val="22"/>
              </w:rPr>
              <w:t>Total</w:t>
            </w:r>
          </w:p>
        </w:tc>
        <w:tc>
          <w:tcPr>
            <w:tcW w:w="1710" w:type="dxa"/>
            <w:tcBorders>
              <w:top w:val="nil"/>
              <w:left w:val="nil"/>
              <w:bottom w:val="single" w:sz="4" w:space="0" w:color="auto"/>
              <w:right w:val="single" w:sz="4" w:space="0" w:color="auto"/>
            </w:tcBorders>
            <w:shd w:val="clear" w:color="auto" w:fill="auto"/>
            <w:noWrap/>
            <w:vAlign w:val="bottom"/>
            <w:hideMark/>
          </w:tcPr>
          <w:p w:rsidR="00C51DD8" w:rsidRPr="00B6489E" w:rsidRDefault="00C51DD8" w:rsidP="00B07A8B">
            <w:pPr>
              <w:spacing w:before="120"/>
              <w:rPr>
                <w:b/>
                <w:color w:val="000000"/>
                <w:sz w:val="22"/>
                <w:szCs w:val="22"/>
              </w:rPr>
            </w:pPr>
            <w:r w:rsidRPr="00B6489E">
              <w:rPr>
                <w:b/>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C51DD8" w:rsidRPr="00B6489E" w:rsidRDefault="00C51DD8" w:rsidP="00B07A8B">
            <w:pPr>
              <w:spacing w:before="120"/>
              <w:jc w:val="right"/>
              <w:rPr>
                <w:b/>
                <w:color w:val="000000"/>
                <w:sz w:val="22"/>
                <w:szCs w:val="22"/>
              </w:rPr>
            </w:pPr>
            <w:r w:rsidRPr="00B6489E">
              <w:rPr>
                <w:b/>
                <w:color w:val="000000"/>
                <w:sz w:val="22"/>
                <w:szCs w:val="22"/>
              </w:rPr>
              <w:t>504.14</w:t>
            </w:r>
          </w:p>
        </w:tc>
      </w:tr>
    </w:tbl>
    <w:p w:rsidR="00C51DD8" w:rsidRDefault="00C51DD8" w:rsidP="00C51DD8">
      <w:pPr>
        <w:spacing w:before="120"/>
        <w:ind w:firstLine="720"/>
        <w:rPr>
          <w:rFonts w:ascii="Calibri" w:hAnsi="Calibri"/>
          <w:color w:val="000000"/>
          <w:sz w:val="22"/>
          <w:szCs w:val="22"/>
        </w:rPr>
      </w:pPr>
    </w:p>
    <w:p w:rsidR="00C51DD8" w:rsidRPr="00B07A8B" w:rsidRDefault="00C51DD8" w:rsidP="00B6489E">
      <w:pPr>
        <w:pStyle w:val="Caption"/>
        <w:keepNext/>
        <w:keepLines/>
        <w:spacing w:before="120"/>
        <w:rPr>
          <w:color w:val="000000"/>
          <w:sz w:val="24"/>
          <w:szCs w:val="24"/>
        </w:rPr>
      </w:pPr>
      <w:bookmarkStart w:id="78" w:name="_Ref347420883"/>
      <w:bookmarkStart w:id="79" w:name="_Toc347827077"/>
      <w:r w:rsidRPr="00003488">
        <w:rPr>
          <w:sz w:val="24"/>
          <w:szCs w:val="24"/>
        </w:rPr>
        <w:t xml:space="preserve">Table </w:t>
      </w:r>
      <w:r w:rsidRPr="00B07A8B">
        <w:rPr>
          <w:sz w:val="24"/>
          <w:szCs w:val="24"/>
        </w:rPr>
        <w:fldChar w:fldCharType="begin"/>
      </w:r>
      <w:r w:rsidRPr="00003488">
        <w:rPr>
          <w:sz w:val="24"/>
          <w:szCs w:val="24"/>
        </w:rPr>
        <w:instrText xml:space="preserve"> SEQ Table \* ARABIC </w:instrText>
      </w:r>
      <w:r w:rsidRPr="00B07A8B">
        <w:rPr>
          <w:sz w:val="24"/>
          <w:szCs w:val="24"/>
        </w:rPr>
        <w:fldChar w:fldCharType="separate"/>
      </w:r>
      <w:r w:rsidR="00B3535E">
        <w:rPr>
          <w:noProof/>
          <w:sz w:val="24"/>
          <w:szCs w:val="24"/>
        </w:rPr>
        <w:t>7</w:t>
      </w:r>
      <w:r w:rsidRPr="00B07A8B">
        <w:rPr>
          <w:sz w:val="24"/>
          <w:szCs w:val="24"/>
        </w:rPr>
        <w:fldChar w:fldCharType="end"/>
      </w:r>
      <w:r w:rsidRPr="00B07A8B">
        <w:rPr>
          <w:color w:val="000000"/>
          <w:sz w:val="24"/>
          <w:szCs w:val="24"/>
        </w:rPr>
        <w:t xml:space="preserve"> Resources that retired in 2011</w:t>
      </w:r>
      <w:bookmarkEnd w:id="78"/>
      <w:bookmarkEnd w:id="79"/>
    </w:p>
    <w:tbl>
      <w:tblPr>
        <w:tblW w:w="5197" w:type="dxa"/>
        <w:tblInd w:w="93" w:type="dxa"/>
        <w:tblLook w:val="04A0" w:firstRow="1" w:lastRow="0" w:firstColumn="1" w:lastColumn="0" w:noHBand="0" w:noVBand="1"/>
      </w:tblPr>
      <w:tblGrid>
        <w:gridCol w:w="2895"/>
        <w:gridCol w:w="1402"/>
        <w:gridCol w:w="1080"/>
      </w:tblGrid>
      <w:tr w:rsidR="00C51DD8" w:rsidTr="006C5D7A">
        <w:trPr>
          <w:trHeight w:val="300"/>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C51DD8" w:rsidRPr="00586B1F" w:rsidRDefault="00C51DD8" w:rsidP="00B6489E">
            <w:pPr>
              <w:keepNext/>
              <w:keepLines/>
              <w:spacing w:before="120"/>
              <w:jc w:val="center"/>
              <w:rPr>
                <w:b/>
                <w:color w:val="000000"/>
                <w:sz w:val="22"/>
                <w:szCs w:val="22"/>
              </w:rPr>
            </w:pPr>
            <w:r w:rsidRPr="00586B1F">
              <w:rPr>
                <w:b/>
                <w:color w:val="000000"/>
                <w:sz w:val="22"/>
                <w:szCs w:val="22"/>
              </w:rPr>
              <w:t>Resource Name</w:t>
            </w:r>
          </w:p>
        </w:tc>
        <w:tc>
          <w:tcPr>
            <w:tcW w:w="1222" w:type="dxa"/>
            <w:tcBorders>
              <w:top w:val="nil"/>
              <w:left w:val="nil"/>
              <w:bottom w:val="single" w:sz="4" w:space="0" w:color="auto"/>
              <w:right w:val="single" w:sz="4" w:space="0" w:color="auto"/>
            </w:tcBorders>
            <w:shd w:val="clear" w:color="auto" w:fill="auto"/>
            <w:noWrap/>
            <w:vAlign w:val="bottom"/>
            <w:hideMark/>
          </w:tcPr>
          <w:p w:rsidR="00C51DD8" w:rsidRPr="00586B1F" w:rsidRDefault="00C51DD8" w:rsidP="00B6489E">
            <w:pPr>
              <w:keepNext/>
              <w:keepLines/>
              <w:spacing w:before="120"/>
              <w:jc w:val="center"/>
              <w:rPr>
                <w:b/>
                <w:color w:val="000000"/>
                <w:sz w:val="22"/>
                <w:szCs w:val="22"/>
              </w:rPr>
            </w:pPr>
            <w:r w:rsidRPr="00586B1F">
              <w:rPr>
                <w:b/>
                <w:color w:val="000000"/>
                <w:sz w:val="22"/>
                <w:szCs w:val="22"/>
              </w:rPr>
              <w:t>Technology</w:t>
            </w:r>
          </w:p>
        </w:tc>
        <w:tc>
          <w:tcPr>
            <w:tcW w:w="1080" w:type="dxa"/>
            <w:tcBorders>
              <w:top w:val="nil"/>
              <w:left w:val="nil"/>
              <w:bottom w:val="single" w:sz="4" w:space="0" w:color="auto"/>
              <w:right w:val="single" w:sz="4" w:space="0" w:color="auto"/>
            </w:tcBorders>
            <w:shd w:val="clear" w:color="auto" w:fill="auto"/>
            <w:noWrap/>
            <w:vAlign w:val="bottom"/>
            <w:hideMark/>
          </w:tcPr>
          <w:p w:rsidR="00C51DD8" w:rsidRPr="00586B1F" w:rsidRDefault="00C51DD8" w:rsidP="00B6489E">
            <w:pPr>
              <w:keepNext/>
              <w:keepLines/>
              <w:spacing w:before="120"/>
              <w:jc w:val="center"/>
              <w:rPr>
                <w:b/>
                <w:color w:val="000000"/>
                <w:sz w:val="22"/>
                <w:szCs w:val="22"/>
              </w:rPr>
            </w:pPr>
            <w:r w:rsidRPr="00586B1F">
              <w:rPr>
                <w:b/>
                <w:color w:val="000000"/>
                <w:sz w:val="22"/>
                <w:szCs w:val="22"/>
              </w:rPr>
              <w:t>NQC</w:t>
            </w:r>
          </w:p>
        </w:tc>
      </w:tr>
      <w:tr w:rsidR="00C51DD8" w:rsidTr="006C5D7A">
        <w:trPr>
          <w:trHeight w:val="300"/>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C51DD8" w:rsidRPr="006C5D7A" w:rsidRDefault="00C51DD8" w:rsidP="00B6489E">
            <w:pPr>
              <w:keepNext/>
              <w:keepLines/>
              <w:spacing w:before="20"/>
              <w:jc w:val="center"/>
              <w:rPr>
                <w:color w:val="000000"/>
                <w:sz w:val="22"/>
                <w:szCs w:val="22"/>
              </w:rPr>
            </w:pPr>
            <w:r w:rsidRPr="006C5D7A">
              <w:rPr>
                <w:color w:val="000000"/>
                <w:sz w:val="22"/>
                <w:szCs w:val="22"/>
              </w:rPr>
              <w:t>POTRERO UNIT 3</w:t>
            </w:r>
          </w:p>
        </w:tc>
        <w:tc>
          <w:tcPr>
            <w:tcW w:w="1222" w:type="dxa"/>
            <w:tcBorders>
              <w:top w:val="nil"/>
              <w:left w:val="nil"/>
              <w:bottom w:val="single" w:sz="4" w:space="0" w:color="auto"/>
              <w:right w:val="single" w:sz="4" w:space="0" w:color="auto"/>
            </w:tcBorders>
            <w:shd w:val="clear" w:color="auto" w:fill="auto"/>
            <w:noWrap/>
            <w:vAlign w:val="bottom"/>
            <w:hideMark/>
          </w:tcPr>
          <w:p w:rsidR="00C51DD8" w:rsidRPr="006C5D7A" w:rsidRDefault="00C51DD8" w:rsidP="00B6489E">
            <w:pPr>
              <w:keepNext/>
              <w:keepLines/>
              <w:spacing w:before="20"/>
              <w:jc w:val="center"/>
              <w:rPr>
                <w:color w:val="000000"/>
                <w:sz w:val="22"/>
                <w:szCs w:val="22"/>
              </w:rPr>
            </w:pPr>
            <w:r w:rsidRPr="006C5D7A">
              <w:rPr>
                <w:color w:val="000000"/>
                <w:sz w:val="22"/>
                <w:szCs w:val="22"/>
              </w:rPr>
              <w:t>Thermal</w:t>
            </w:r>
          </w:p>
        </w:tc>
        <w:tc>
          <w:tcPr>
            <w:tcW w:w="1080" w:type="dxa"/>
            <w:tcBorders>
              <w:top w:val="nil"/>
              <w:left w:val="nil"/>
              <w:bottom w:val="single" w:sz="4" w:space="0" w:color="auto"/>
              <w:right w:val="single" w:sz="4" w:space="0" w:color="auto"/>
            </w:tcBorders>
            <w:shd w:val="clear" w:color="auto" w:fill="auto"/>
            <w:noWrap/>
            <w:vAlign w:val="bottom"/>
            <w:hideMark/>
          </w:tcPr>
          <w:p w:rsidR="00C51DD8" w:rsidRPr="006C5D7A" w:rsidRDefault="00C51DD8" w:rsidP="00B6489E">
            <w:pPr>
              <w:keepNext/>
              <w:keepLines/>
              <w:spacing w:before="20"/>
              <w:jc w:val="center"/>
              <w:rPr>
                <w:sz w:val="22"/>
                <w:szCs w:val="22"/>
              </w:rPr>
            </w:pPr>
            <w:r w:rsidRPr="006C5D7A">
              <w:rPr>
                <w:sz w:val="22"/>
                <w:szCs w:val="22"/>
              </w:rPr>
              <w:t>206.00</w:t>
            </w:r>
          </w:p>
        </w:tc>
      </w:tr>
      <w:tr w:rsidR="00C51DD8" w:rsidTr="006C5D7A">
        <w:trPr>
          <w:trHeight w:val="300"/>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C51DD8" w:rsidRPr="006C5D7A" w:rsidRDefault="00C51DD8" w:rsidP="00B6489E">
            <w:pPr>
              <w:keepNext/>
              <w:keepLines/>
              <w:spacing w:before="20"/>
              <w:jc w:val="center"/>
              <w:rPr>
                <w:color w:val="000000"/>
                <w:sz w:val="22"/>
                <w:szCs w:val="22"/>
              </w:rPr>
            </w:pPr>
            <w:r w:rsidRPr="006C5D7A">
              <w:rPr>
                <w:color w:val="000000"/>
                <w:sz w:val="22"/>
                <w:szCs w:val="22"/>
              </w:rPr>
              <w:t>POTRERO UNIT 4</w:t>
            </w:r>
          </w:p>
        </w:tc>
        <w:tc>
          <w:tcPr>
            <w:tcW w:w="1222" w:type="dxa"/>
            <w:tcBorders>
              <w:top w:val="nil"/>
              <w:left w:val="nil"/>
              <w:bottom w:val="single" w:sz="4" w:space="0" w:color="auto"/>
              <w:right w:val="single" w:sz="4" w:space="0" w:color="auto"/>
            </w:tcBorders>
            <w:shd w:val="clear" w:color="auto" w:fill="auto"/>
            <w:noWrap/>
            <w:vAlign w:val="bottom"/>
            <w:hideMark/>
          </w:tcPr>
          <w:p w:rsidR="00C51DD8" w:rsidRPr="006C5D7A" w:rsidRDefault="00C51DD8" w:rsidP="00B6489E">
            <w:pPr>
              <w:keepNext/>
              <w:keepLines/>
              <w:spacing w:before="20"/>
              <w:jc w:val="center"/>
              <w:rPr>
                <w:color w:val="000000"/>
                <w:sz w:val="22"/>
                <w:szCs w:val="22"/>
              </w:rPr>
            </w:pPr>
            <w:r w:rsidRPr="006C5D7A">
              <w:rPr>
                <w:color w:val="000000"/>
                <w:sz w:val="22"/>
                <w:szCs w:val="22"/>
              </w:rPr>
              <w:t>Thermal</w:t>
            </w:r>
          </w:p>
        </w:tc>
        <w:tc>
          <w:tcPr>
            <w:tcW w:w="1080" w:type="dxa"/>
            <w:tcBorders>
              <w:top w:val="nil"/>
              <w:left w:val="nil"/>
              <w:bottom w:val="single" w:sz="4" w:space="0" w:color="auto"/>
              <w:right w:val="single" w:sz="4" w:space="0" w:color="auto"/>
            </w:tcBorders>
            <w:shd w:val="clear" w:color="auto" w:fill="auto"/>
            <w:noWrap/>
            <w:vAlign w:val="bottom"/>
            <w:hideMark/>
          </w:tcPr>
          <w:p w:rsidR="00C51DD8" w:rsidRPr="006C5D7A" w:rsidRDefault="00C51DD8" w:rsidP="00B6489E">
            <w:pPr>
              <w:keepNext/>
              <w:keepLines/>
              <w:spacing w:before="20"/>
              <w:jc w:val="center"/>
              <w:rPr>
                <w:sz w:val="22"/>
                <w:szCs w:val="22"/>
              </w:rPr>
            </w:pPr>
            <w:r w:rsidRPr="006C5D7A">
              <w:rPr>
                <w:sz w:val="22"/>
                <w:szCs w:val="22"/>
              </w:rPr>
              <w:t>52.00</w:t>
            </w:r>
          </w:p>
        </w:tc>
      </w:tr>
      <w:tr w:rsidR="00C51DD8" w:rsidTr="006C5D7A">
        <w:trPr>
          <w:trHeight w:val="300"/>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C51DD8" w:rsidRPr="006C5D7A" w:rsidRDefault="00C51DD8" w:rsidP="00B6489E">
            <w:pPr>
              <w:keepNext/>
              <w:keepLines/>
              <w:spacing w:before="20"/>
              <w:jc w:val="center"/>
              <w:rPr>
                <w:color w:val="000000"/>
                <w:sz w:val="22"/>
                <w:szCs w:val="22"/>
              </w:rPr>
            </w:pPr>
            <w:r w:rsidRPr="006C5D7A">
              <w:rPr>
                <w:color w:val="000000"/>
                <w:sz w:val="22"/>
                <w:szCs w:val="22"/>
              </w:rPr>
              <w:t>POTRERO UNIT 5</w:t>
            </w:r>
          </w:p>
        </w:tc>
        <w:tc>
          <w:tcPr>
            <w:tcW w:w="1222" w:type="dxa"/>
            <w:tcBorders>
              <w:top w:val="nil"/>
              <w:left w:val="nil"/>
              <w:bottom w:val="single" w:sz="4" w:space="0" w:color="auto"/>
              <w:right w:val="single" w:sz="4" w:space="0" w:color="auto"/>
            </w:tcBorders>
            <w:shd w:val="clear" w:color="auto" w:fill="auto"/>
            <w:noWrap/>
            <w:vAlign w:val="bottom"/>
            <w:hideMark/>
          </w:tcPr>
          <w:p w:rsidR="00C51DD8" w:rsidRPr="006C5D7A" w:rsidRDefault="00C51DD8" w:rsidP="00B6489E">
            <w:pPr>
              <w:keepNext/>
              <w:keepLines/>
              <w:spacing w:before="20"/>
              <w:jc w:val="center"/>
              <w:rPr>
                <w:color w:val="000000"/>
                <w:sz w:val="22"/>
                <w:szCs w:val="22"/>
              </w:rPr>
            </w:pPr>
            <w:r w:rsidRPr="006C5D7A">
              <w:rPr>
                <w:color w:val="000000"/>
                <w:sz w:val="22"/>
                <w:szCs w:val="22"/>
              </w:rPr>
              <w:t>Thermal</w:t>
            </w:r>
          </w:p>
        </w:tc>
        <w:tc>
          <w:tcPr>
            <w:tcW w:w="1080" w:type="dxa"/>
            <w:tcBorders>
              <w:top w:val="nil"/>
              <w:left w:val="nil"/>
              <w:bottom w:val="single" w:sz="4" w:space="0" w:color="auto"/>
              <w:right w:val="single" w:sz="4" w:space="0" w:color="auto"/>
            </w:tcBorders>
            <w:shd w:val="clear" w:color="auto" w:fill="auto"/>
            <w:noWrap/>
            <w:vAlign w:val="bottom"/>
            <w:hideMark/>
          </w:tcPr>
          <w:p w:rsidR="00C51DD8" w:rsidRPr="006C5D7A" w:rsidRDefault="00C51DD8" w:rsidP="00B6489E">
            <w:pPr>
              <w:keepNext/>
              <w:keepLines/>
              <w:spacing w:before="20"/>
              <w:jc w:val="center"/>
              <w:rPr>
                <w:sz w:val="22"/>
                <w:szCs w:val="22"/>
              </w:rPr>
            </w:pPr>
            <w:r w:rsidRPr="006C5D7A">
              <w:rPr>
                <w:sz w:val="22"/>
                <w:szCs w:val="22"/>
              </w:rPr>
              <w:t>52.00</w:t>
            </w:r>
          </w:p>
        </w:tc>
      </w:tr>
      <w:tr w:rsidR="00C51DD8" w:rsidTr="006C5D7A">
        <w:trPr>
          <w:trHeight w:val="300"/>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C51DD8" w:rsidRPr="006C5D7A" w:rsidRDefault="00C51DD8" w:rsidP="00B6489E">
            <w:pPr>
              <w:keepNext/>
              <w:keepLines/>
              <w:spacing w:before="20"/>
              <w:jc w:val="center"/>
              <w:rPr>
                <w:color w:val="000000"/>
                <w:sz w:val="22"/>
                <w:szCs w:val="22"/>
              </w:rPr>
            </w:pPr>
            <w:r w:rsidRPr="006C5D7A">
              <w:rPr>
                <w:color w:val="000000"/>
                <w:sz w:val="22"/>
                <w:szCs w:val="22"/>
              </w:rPr>
              <w:t>POTRERO UNIT 6</w:t>
            </w:r>
          </w:p>
        </w:tc>
        <w:tc>
          <w:tcPr>
            <w:tcW w:w="1222" w:type="dxa"/>
            <w:tcBorders>
              <w:top w:val="nil"/>
              <w:left w:val="nil"/>
              <w:bottom w:val="single" w:sz="4" w:space="0" w:color="auto"/>
              <w:right w:val="single" w:sz="4" w:space="0" w:color="auto"/>
            </w:tcBorders>
            <w:shd w:val="clear" w:color="auto" w:fill="auto"/>
            <w:noWrap/>
            <w:vAlign w:val="bottom"/>
            <w:hideMark/>
          </w:tcPr>
          <w:p w:rsidR="00C51DD8" w:rsidRPr="006C5D7A" w:rsidRDefault="00C51DD8" w:rsidP="00B6489E">
            <w:pPr>
              <w:keepNext/>
              <w:keepLines/>
              <w:spacing w:before="20"/>
              <w:jc w:val="center"/>
              <w:rPr>
                <w:color w:val="000000"/>
                <w:sz w:val="22"/>
                <w:szCs w:val="22"/>
              </w:rPr>
            </w:pPr>
            <w:r w:rsidRPr="006C5D7A">
              <w:rPr>
                <w:color w:val="000000"/>
                <w:sz w:val="22"/>
                <w:szCs w:val="22"/>
              </w:rPr>
              <w:t>Thermal</w:t>
            </w:r>
          </w:p>
        </w:tc>
        <w:tc>
          <w:tcPr>
            <w:tcW w:w="1080" w:type="dxa"/>
            <w:tcBorders>
              <w:top w:val="nil"/>
              <w:left w:val="nil"/>
              <w:bottom w:val="single" w:sz="4" w:space="0" w:color="auto"/>
              <w:right w:val="single" w:sz="4" w:space="0" w:color="auto"/>
            </w:tcBorders>
            <w:shd w:val="clear" w:color="auto" w:fill="auto"/>
            <w:noWrap/>
            <w:vAlign w:val="bottom"/>
            <w:hideMark/>
          </w:tcPr>
          <w:p w:rsidR="00C51DD8" w:rsidRPr="006C5D7A" w:rsidRDefault="00C51DD8" w:rsidP="00B6489E">
            <w:pPr>
              <w:keepNext/>
              <w:keepLines/>
              <w:spacing w:before="20"/>
              <w:jc w:val="center"/>
              <w:rPr>
                <w:sz w:val="22"/>
                <w:szCs w:val="22"/>
              </w:rPr>
            </w:pPr>
            <w:r w:rsidRPr="006C5D7A">
              <w:rPr>
                <w:sz w:val="22"/>
                <w:szCs w:val="22"/>
              </w:rPr>
              <w:t>52.00</w:t>
            </w:r>
          </w:p>
        </w:tc>
      </w:tr>
      <w:tr w:rsidR="00C51DD8" w:rsidTr="006C5D7A">
        <w:trPr>
          <w:trHeight w:val="300"/>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C51DD8" w:rsidRPr="006C5D7A" w:rsidRDefault="00C51DD8" w:rsidP="00B6489E">
            <w:pPr>
              <w:keepNext/>
              <w:keepLines/>
              <w:spacing w:before="20"/>
              <w:jc w:val="center"/>
              <w:rPr>
                <w:color w:val="000000"/>
                <w:sz w:val="22"/>
                <w:szCs w:val="22"/>
              </w:rPr>
            </w:pPr>
            <w:r w:rsidRPr="006C5D7A">
              <w:rPr>
                <w:color w:val="000000"/>
                <w:sz w:val="22"/>
                <w:szCs w:val="22"/>
              </w:rPr>
              <w:t>SOUTHBAY GAS TURBINE 1</w:t>
            </w:r>
          </w:p>
        </w:tc>
        <w:tc>
          <w:tcPr>
            <w:tcW w:w="1222" w:type="dxa"/>
            <w:tcBorders>
              <w:top w:val="nil"/>
              <w:left w:val="nil"/>
              <w:bottom w:val="single" w:sz="4" w:space="0" w:color="auto"/>
              <w:right w:val="single" w:sz="4" w:space="0" w:color="auto"/>
            </w:tcBorders>
            <w:shd w:val="clear" w:color="auto" w:fill="auto"/>
            <w:noWrap/>
            <w:vAlign w:val="bottom"/>
            <w:hideMark/>
          </w:tcPr>
          <w:p w:rsidR="00C51DD8" w:rsidRPr="006C5D7A" w:rsidRDefault="00C51DD8" w:rsidP="00B6489E">
            <w:pPr>
              <w:keepNext/>
              <w:keepLines/>
              <w:spacing w:before="20"/>
              <w:jc w:val="center"/>
              <w:rPr>
                <w:color w:val="000000"/>
                <w:sz w:val="22"/>
                <w:szCs w:val="22"/>
              </w:rPr>
            </w:pPr>
            <w:r w:rsidRPr="006C5D7A">
              <w:rPr>
                <w:color w:val="000000"/>
                <w:sz w:val="22"/>
                <w:szCs w:val="22"/>
              </w:rPr>
              <w:t>Thermal</w:t>
            </w:r>
          </w:p>
        </w:tc>
        <w:tc>
          <w:tcPr>
            <w:tcW w:w="1080" w:type="dxa"/>
            <w:tcBorders>
              <w:top w:val="nil"/>
              <w:left w:val="nil"/>
              <w:bottom w:val="single" w:sz="4" w:space="0" w:color="auto"/>
              <w:right w:val="single" w:sz="4" w:space="0" w:color="auto"/>
            </w:tcBorders>
            <w:shd w:val="clear" w:color="auto" w:fill="auto"/>
            <w:noWrap/>
            <w:vAlign w:val="bottom"/>
            <w:hideMark/>
          </w:tcPr>
          <w:p w:rsidR="00C51DD8" w:rsidRPr="006C5D7A" w:rsidRDefault="00C51DD8" w:rsidP="00B6489E">
            <w:pPr>
              <w:keepNext/>
              <w:keepLines/>
              <w:spacing w:before="20"/>
              <w:jc w:val="center"/>
              <w:rPr>
                <w:sz w:val="22"/>
                <w:szCs w:val="22"/>
              </w:rPr>
            </w:pPr>
            <w:r w:rsidRPr="006C5D7A">
              <w:rPr>
                <w:sz w:val="22"/>
                <w:szCs w:val="22"/>
              </w:rPr>
              <w:t>15.00</w:t>
            </w:r>
          </w:p>
        </w:tc>
      </w:tr>
      <w:tr w:rsidR="00C51DD8" w:rsidTr="006C5D7A">
        <w:trPr>
          <w:trHeight w:val="300"/>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C51DD8" w:rsidRPr="006C5D7A" w:rsidRDefault="00C51DD8" w:rsidP="00B6489E">
            <w:pPr>
              <w:keepNext/>
              <w:keepLines/>
              <w:spacing w:before="20"/>
              <w:jc w:val="center"/>
              <w:rPr>
                <w:color w:val="000000"/>
                <w:sz w:val="22"/>
                <w:szCs w:val="22"/>
              </w:rPr>
            </w:pPr>
            <w:r w:rsidRPr="006C5D7A">
              <w:rPr>
                <w:color w:val="000000"/>
                <w:sz w:val="22"/>
                <w:szCs w:val="22"/>
              </w:rPr>
              <w:t>SOUTHBAY UNIT 1</w:t>
            </w:r>
          </w:p>
        </w:tc>
        <w:tc>
          <w:tcPr>
            <w:tcW w:w="1222" w:type="dxa"/>
            <w:tcBorders>
              <w:top w:val="nil"/>
              <w:left w:val="nil"/>
              <w:bottom w:val="single" w:sz="4" w:space="0" w:color="auto"/>
              <w:right w:val="single" w:sz="4" w:space="0" w:color="auto"/>
            </w:tcBorders>
            <w:shd w:val="clear" w:color="auto" w:fill="auto"/>
            <w:noWrap/>
            <w:vAlign w:val="bottom"/>
            <w:hideMark/>
          </w:tcPr>
          <w:p w:rsidR="00C51DD8" w:rsidRPr="006C5D7A" w:rsidRDefault="00C51DD8" w:rsidP="00B6489E">
            <w:pPr>
              <w:keepNext/>
              <w:keepLines/>
              <w:spacing w:before="20"/>
              <w:jc w:val="center"/>
              <w:rPr>
                <w:color w:val="000000"/>
                <w:sz w:val="22"/>
                <w:szCs w:val="22"/>
              </w:rPr>
            </w:pPr>
            <w:r w:rsidRPr="006C5D7A">
              <w:rPr>
                <w:color w:val="000000"/>
                <w:sz w:val="22"/>
                <w:szCs w:val="22"/>
              </w:rPr>
              <w:t>Thermal</w:t>
            </w:r>
          </w:p>
        </w:tc>
        <w:tc>
          <w:tcPr>
            <w:tcW w:w="1080" w:type="dxa"/>
            <w:tcBorders>
              <w:top w:val="nil"/>
              <w:left w:val="nil"/>
              <w:bottom w:val="single" w:sz="4" w:space="0" w:color="auto"/>
              <w:right w:val="single" w:sz="4" w:space="0" w:color="auto"/>
            </w:tcBorders>
            <w:shd w:val="clear" w:color="auto" w:fill="auto"/>
            <w:noWrap/>
            <w:vAlign w:val="bottom"/>
            <w:hideMark/>
          </w:tcPr>
          <w:p w:rsidR="00C51DD8" w:rsidRPr="006C5D7A" w:rsidRDefault="00C51DD8" w:rsidP="00B6489E">
            <w:pPr>
              <w:keepNext/>
              <w:keepLines/>
              <w:spacing w:before="20"/>
              <w:jc w:val="center"/>
              <w:rPr>
                <w:sz w:val="22"/>
                <w:szCs w:val="22"/>
              </w:rPr>
            </w:pPr>
            <w:r w:rsidRPr="006C5D7A">
              <w:rPr>
                <w:sz w:val="22"/>
                <w:szCs w:val="22"/>
              </w:rPr>
              <w:t>146.00</w:t>
            </w:r>
          </w:p>
        </w:tc>
      </w:tr>
      <w:tr w:rsidR="00C51DD8" w:rsidTr="006C5D7A">
        <w:trPr>
          <w:trHeight w:val="300"/>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C51DD8" w:rsidRPr="006C5D7A" w:rsidRDefault="00C51DD8" w:rsidP="00B6489E">
            <w:pPr>
              <w:keepNext/>
              <w:keepLines/>
              <w:spacing w:before="20"/>
              <w:jc w:val="center"/>
              <w:rPr>
                <w:color w:val="000000"/>
                <w:sz w:val="22"/>
                <w:szCs w:val="22"/>
              </w:rPr>
            </w:pPr>
            <w:r w:rsidRPr="006C5D7A">
              <w:rPr>
                <w:color w:val="000000"/>
                <w:sz w:val="22"/>
                <w:szCs w:val="22"/>
              </w:rPr>
              <w:t>SOUTHBAY UNIT 2</w:t>
            </w:r>
          </w:p>
        </w:tc>
        <w:tc>
          <w:tcPr>
            <w:tcW w:w="1222" w:type="dxa"/>
            <w:tcBorders>
              <w:top w:val="nil"/>
              <w:left w:val="nil"/>
              <w:bottom w:val="single" w:sz="4" w:space="0" w:color="auto"/>
              <w:right w:val="single" w:sz="4" w:space="0" w:color="auto"/>
            </w:tcBorders>
            <w:shd w:val="clear" w:color="auto" w:fill="auto"/>
            <w:noWrap/>
            <w:vAlign w:val="bottom"/>
            <w:hideMark/>
          </w:tcPr>
          <w:p w:rsidR="00C51DD8" w:rsidRPr="006C5D7A" w:rsidRDefault="00C51DD8" w:rsidP="00B6489E">
            <w:pPr>
              <w:keepNext/>
              <w:keepLines/>
              <w:spacing w:before="20"/>
              <w:jc w:val="center"/>
              <w:rPr>
                <w:color w:val="000000"/>
                <w:sz w:val="22"/>
                <w:szCs w:val="22"/>
              </w:rPr>
            </w:pPr>
            <w:r w:rsidRPr="006C5D7A">
              <w:rPr>
                <w:color w:val="000000"/>
                <w:sz w:val="22"/>
                <w:szCs w:val="22"/>
              </w:rPr>
              <w:t>Thermal</w:t>
            </w:r>
          </w:p>
        </w:tc>
        <w:tc>
          <w:tcPr>
            <w:tcW w:w="1080" w:type="dxa"/>
            <w:tcBorders>
              <w:top w:val="nil"/>
              <w:left w:val="nil"/>
              <w:bottom w:val="single" w:sz="4" w:space="0" w:color="auto"/>
              <w:right w:val="single" w:sz="4" w:space="0" w:color="auto"/>
            </w:tcBorders>
            <w:shd w:val="clear" w:color="auto" w:fill="auto"/>
            <w:noWrap/>
            <w:vAlign w:val="bottom"/>
            <w:hideMark/>
          </w:tcPr>
          <w:p w:rsidR="00C51DD8" w:rsidRPr="006C5D7A" w:rsidRDefault="00C51DD8" w:rsidP="00B6489E">
            <w:pPr>
              <w:keepNext/>
              <w:keepLines/>
              <w:spacing w:before="20"/>
              <w:jc w:val="center"/>
              <w:rPr>
                <w:sz w:val="22"/>
                <w:szCs w:val="22"/>
              </w:rPr>
            </w:pPr>
            <w:r w:rsidRPr="006C5D7A">
              <w:rPr>
                <w:sz w:val="22"/>
                <w:szCs w:val="22"/>
              </w:rPr>
              <w:t>149.60</w:t>
            </w:r>
          </w:p>
        </w:tc>
      </w:tr>
      <w:tr w:rsidR="00C51DD8" w:rsidTr="006C5D7A">
        <w:trPr>
          <w:trHeight w:val="300"/>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C51DD8" w:rsidRPr="006C5D7A" w:rsidRDefault="00C51DD8" w:rsidP="00B6489E">
            <w:pPr>
              <w:keepNext/>
              <w:keepLines/>
              <w:spacing w:before="20"/>
              <w:jc w:val="center"/>
              <w:rPr>
                <w:color w:val="000000"/>
                <w:sz w:val="22"/>
                <w:szCs w:val="22"/>
              </w:rPr>
            </w:pPr>
            <w:r w:rsidRPr="006C5D7A">
              <w:rPr>
                <w:color w:val="000000"/>
                <w:sz w:val="22"/>
                <w:szCs w:val="22"/>
              </w:rPr>
              <w:t>Humboldt Bay Mobile Unit 2</w:t>
            </w:r>
          </w:p>
        </w:tc>
        <w:tc>
          <w:tcPr>
            <w:tcW w:w="1222" w:type="dxa"/>
            <w:tcBorders>
              <w:top w:val="nil"/>
              <w:left w:val="nil"/>
              <w:bottom w:val="single" w:sz="4" w:space="0" w:color="auto"/>
              <w:right w:val="single" w:sz="4" w:space="0" w:color="auto"/>
            </w:tcBorders>
            <w:shd w:val="clear" w:color="auto" w:fill="auto"/>
            <w:noWrap/>
            <w:vAlign w:val="bottom"/>
            <w:hideMark/>
          </w:tcPr>
          <w:p w:rsidR="00C51DD8" w:rsidRPr="006C5D7A" w:rsidRDefault="00C51DD8" w:rsidP="00B6489E">
            <w:pPr>
              <w:keepNext/>
              <w:keepLines/>
              <w:spacing w:before="20"/>
              <w:jc w:val="center"/>
              <w:rPr>
                <w:color w:val="000000"/>
                <w:sz w:val="22"/>
                <w:szCs w:val="22"/>
              </w:rPr>
            </w:pPr>
            <w:r w:rsidRPr="006C5D7A">
              <w:rPr>
                <w:color w:val="000000"/>
                <w:sz w:val="22"/>
                <w:szCs w:val="22"/>
              </w:rPr>
              <w:t>Thermal</w:t>
            </w:r>
          </w:p>
        </w:tc>
        <w:tc>
          <w:tcPr>
            <w:tcW w:w="1080" w:type="dxa"/>
            <w:tcBorders>
              <w:top w:val="nil"/>
              <w:left w:val="nil"/>
              <w:bottom w:val="single" w:sz="4" w:space="0" w:color="auto"/>
              <w:right w:val="single" w:sz="4" w:space="0" w:color="auto"/>
            </w:tcBorders>
            <w:shd w:val="clear" w:color="auto" w:fill="auto"/>
            <w:noWrap/>
            <w:vAlign w:val="bottom"/>
            <w:hideMark/>
          </w:tcPr>
          <w:p w:rsidR="00C51DD8" w:rsidRPr="006C5D7A" w:rsidRDefault="00C51DD8" w:rsidP="00B6489E">
            <w:pPr>
              <w:keepNext/>
              <w:keepLines/>
              <w:spacing w:before="20"/>
              <w:jc w:val="center"/>
              <w:rPr>
                <w:sz w:val="22"/>
                <w:szCs w:val="22"/>
              </w:rPr>
            </w:pPr>
            <w:r w:rsidRPr="006C5D7A">
              <w:rPr>
                <w:sz w:val="22"/>
                <w:szCs w:val="22"/>
              </w:rPr>
              <w:t>15.00</w:t>
            </w:r>
          </w:p>
        </w:tc>
      </w:tr>
      <w:tr w:rsidR="00C51DD8" w:rsidTr="006C5D7A">
        <w:trPr>
          <w:trHeight w:val="300"/>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C51DD8" w:rsidRPr="006C5D7A" w:rsidRDefault="00C51DD8" w:rsidP="00B6489E">
            <w:pPr>
              <w:keepNext/>
              <w:keepLines/>
              <w:spacing w:before="20"/>
              <w:jc w:val="center"/>
              <w:rPr>
                <w:color w:val="000000"/>
                <w:sz w:val="22"/>
                <w:szCs w:val="22"/>
              </w:rPr>
            </w:pPr>
            <w:r w:rsidRPr="006C5D7A">
              <w:rPr>
                <w:color w:val="000000"/>
                <w:sz w:val="22"/>
                <w:szCs w:val="22"/>
              </w:rPr>
              <w:t>Humboldt Bay Mobile Unit 3</w:t>
            </w:r>
          </w:p>
        </w:tc>
        <w:tc>
          <w:tcPr>
            <w:tcW w:w="1222" w:type="dxa"/>
            <w:tcBorders>
              <w:top w:val="nil"/>
              <w:left w:val="nil"/>
              <w:bottom w:val="single" w:sz="4" w:space="0" w:color="auto"/>
              <w:right w:val="single" w:sz="4" w:space="0" w:color="auto"/>
            </w:tcBorders>
            <w:shd w:val="clear" w:color="auto" w:fill="auto"/>
            <w:noWrap/>
            <w:vAlign w:val="bottom"/>
            <w:hideMark/>
          </w:tcPr>
          <w:p w:rsidR="00C51DD8" w:rsidRPr="006C5D7A" w:rsidRDefault="00C51DD8" w:rsidP="00B6489E">
            <w:pPr>
              <w:keepNext/>
              <w:keepLines/>
              <w:spacing w:before="20"/>
              <w:jc w:val="center"/>
              <w:rPr>
                <w:color w:val="000000"/>
                <w:sz w:val="22"/>
                <w:szCs w:val="22"/>
              </w:rPr>
            </w:pPr>
            <w:r w:rsidRPr="006C5D7A">
              <w:rPr>
                <w:color w:val="000000"/>
                <w:sz w:val="22"/>
                <w:szCs w:val="22"/>
              </w:rPr>
              <w:t>Thermal</w:t>
            </w:r>
          </w:p>
        </w:tc>
        <w:tc>
          <w:tcPr>
            <w:tcW w:w="1080" w:type="dxa"/>
            <w:tcBorders>
              <w:top w:val="nil"/>
              <w:left w:val="nil"/>
              <w:bottom w:val="single" w:sz="4" w:space="0" w:color="auto"/>
              <w:right w:val="single" w:sz="4" w:space="0" w:color="auto"/>
            </w:tcBorders>
            <w:shd w:val="clear" w:color="auto" w:fill="auto"/>
            <w:noWrap/>
            <w:vAlign w:val="bottom"/>
            <w:hideMark/>
          </w:tcPr>
          <w:p w:rsidR="00C51DD8" w:rsidRPr="006C5D7A" w:rsidRDefault="00C51DD8" w:rsidP="00B6489E">
            <w:pPr>
              <w:keepNext/>
              <w:keepLines/>
              <w:spacing w:before="20"/>
              <w:jc w:val="center"/>
              <w:rPr>
                <w:sz w:val="22"/>
                <w:szCs w:val="22"/>
              </w:rPr>
            </w:pPr>
            <w:r w:rsidRPr="006C5D7A">
              <w:rPr>
                <w:sz w:val="22"/>
                <w:szCs w:val="22"/>
              </w:rPr>
              <w:t>15.00</w:t>
            </w:r>
          </w:p>
        </w:tc>
      </w:tr>
      <w:tr w:rsidR="00C51DD8" w:rsidTr="006C5D7A">
        <w:trPr>
          <w:trHeight w:val="300"/>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C51DD8" w:rsidRPr="006C5D7A" w:rsidRDefault="00C51DD8" w:rsidP="00B6489E">
            <w:pPr>
              <w:keepNext/>
              <w:keepLines/>
              <w:spacing w:before="20"/>
              <w:jc w:val="center"/>
              <w:rPr>
                <w:color w:val="000000"/>
                <w:sz w:val="22"/>
                <w:szCs w:val="22"/>
              </w:rPr>
            </w:pPr>
            <w:r w:rsidRPr="006C5D7A">
              <w:rPr>
                <w:color w:val="000000"/>
                <w:sz w:val="22"/>
                <w:szCs w:val="22"/>
              </w:rPr>
              <w:t>Humboldt Bay Unit 1</w:t>
            </w:r>
          </w:p>
        </w:tc>
        <w:tc>
          <w:tcPr>
            <w:tcW w:w="1222" w:type="dxa"/>
            <w:tcBorders>
              <w:top w:val="nil"/>
              <w:left w:val="nil"/>
              <w:bottom w:val="single" w:sz="4" w:space="0" w:color="auto"/>
              <w:right w:val="single" w:sz="4" w:space="0" w:color="auto"/>
            </w:tcBorders>
            <w:shd w:val="clear" w:color="auto" w:fill="auto"/>
            <w:noWrap/>
            <w:vAlign w:val="bottom"/>
            <w:hideMark/>
          </w:tcPr>
          <w:p w:rsidR="00C51DD8" w:rsidRPr="006C5D7A" w:rsidRDefault="00C51DD8" w:rsidP="00B6489E">
            <w:pPr>
              <w:keepNext/>
              <w:keepLines/>
              <w:spacing w:before="20"/>
              <w:jc w:val="center"/>
              <w:rPr>
                <w:color w:val="000000"/>
                <w:sz w:val="22"/>
                <w:szCs w:val="22"/>
              </w:rPr>
            </w:pPr>
            <w:r w:rsidRPr="006C5D7A">
              <w:rPr>
                <w:color w:val="000000"/>
                <w:sz w:val="22"/>
                <w:szCs w:val="22"/>
              </w:rPr>
              <w:t>Thermal</w:t>
            </w:r>
          </w:p>
        </w:tc>
        <w:tc>
          <w:tcPr>
            <w:tcW w:w="1080" w:type="dxa"/>
            <w:tcBorders>
              <w:top w:val="nil"/>
              <w:left w:val="nil"/>
              <w:bottom w:val="single" w:sz="4" w:space="0" w:color="auto"/>
              <w:right w:val="single" w:sz="4" w:space="0" w:color="auto"/>
            </w:tcBorders>
            <w:shd w:val="clear" w:color="auto" w:fill="auto"/>
            <w:noWrap/>
            <w:vAlign w:val="bottom"/>
            <w:hideMark/>
          </w:tcPr>
          <w:p w:rsidR="00C51DD8" w:rsidRPr="006C5D7A" w:rsidRDefault="00C51DD8" w:rsidP="00B6489E">
            <w:pPr>
              <w:keepNext/>
              <w:keepLines/>
              <w:spacing w:before="20"/>
              <w:jc w:val="center"/>
              <w:rPr>
                <w:sz w:val="22"/>
                <w:szCs w:val="22"/>
              </w:rPr>
            </w:pPr>
            <w:r w:rsidRPr="006C5D7A">
              <w:rPr>
                <w:sz w:val="22"/>
                <w:szCs w:val="22"/>
              </w:rPr>
              <w:t>52.00</w:t>
            </w:r>
          </w:p>
        </w:tc>
      </w:tr>
      <w:tr w:rsidR="00C51DD8" w:rsidTr="006C5D7A">
        <w:trPr>
          <w:trHeight w:val="300"/>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C51DD8" w:rsidRPr="006C5D7A" w:rsidRDefault="00C51DD8" w:rsidP="00B6489E">
            <w:pPr>
              <w:keepNext/>
              <w:keepLines/>
              <w:spacing w:before="20"/>
              <w:jc w:val="center"/>
              <w:rPr>
                <w:color w:val="000000"/>
                <w:sz w:val="22"/>
                <w:szCs w:val="22"/>
              </w:rPr>
            </w:pPr>
            <w:r w:rsidRPr="006C5D7A">
              <w:rPr>
                <w:color w:val="000000"/>
                <w:sz w:val="22"/>
                <w:szCs w:val="22"/>
              </w:rPr>
              <w:t>Humboldt Bay Unit 2</w:t>
            </w:r>
          </w:p>
        </w:tc>
        <w:tc>
          <w:tcPr>
            <w:tcW w:w="1222" w:type="dxa"/>
            <w:tcBorders>
              <w:top w:val="nil"/>
              <w:left w:val="nil"/>
              <w:bottom w:val="single" w:sz="4" w:space="0" w:color="auto"/>
              <w:right w:val="single" w:sz="4" w:space="0" w:color="auto"/>
            </w:tcBorders>
            <w:shd w:val="clear" w:color="auto" w:fill="auto"/>
            <w:noWrap/>
            <w:vAlign w:val="bottom"/>
            <w:hideMark/>
          </w:tcPr>
          <w:p w:rsidR="00C51DD8" w:rsidRPr="006C5D7A" w:rsidRDefault="00C51DD8" w:rsidP="00B6489E">
            <w:pPr>
              <w:keepNext/>
              <w:keepLines/>
              <w:spacing w:before="20"/>
              <w:jc w:val="center"/>
              <w:rPr>
                <w:color w:val="000000"/>
                <w:sz w:val="22"/>
                <w:szCs w:val="22"/>
              </w:rPr>
            </w:pPr>
            <w:r w:rsidRPr="006C5D7A">
              <w:rPr>
                <w:color w:val="000000"/>
                <w:sz w:val="22"/>
                <w:szCs w:val="22"/>
              </w:rPr>
              <w:t>Thermal</w:t>
            </w:r>
          </w:p>
        </w:tc>
        <w:tc>
          <w:tcPr>
            <w:tcW w:w="1080" w:type="dxa"/>
            <w:tcBorders>
              <w:top w:val="nil"/>
              <w:left w:val="nil"/>
              <w:bottom w:val="single" w:sz="4" w:space="0" w:color="auto"/>
              <w:right w:val="single" w:sz="4" w:space="0" w:color="auto"/>
            </w:tcBorders>
            <w:shd w:val="clear" w:color="auto" w:fill="auto"/>
            <w:noWrap/>
            <w:vAlign w:val="bottom"/>
            <w:hideMark/>
          </w:tcPr>
          <w:p w:rsidR="00C51DD8" w:rsidRPr="006C5D7A" w:rsidRDefault="00C51DD8" w:rsidP="00B6489E">
            <w:pPr>
              <w:keepNext/>
              <w:keepLines/>
              <w:spacing w:before="20"/>
              <w:jc w:val="center"/>
              <w:rPr>
                <w:sz w:val="22"/>
                <w:szCs w:val="22"/>
              </w:rPr>
            </w:pPr>
            <w:r w:rsidRPr="006C5D7A">
              <w:rPr>
                <w:sz w:val="22"/>
                <w:szCs w:val="22"/>
              </w:rPr>
              <w:t>53.00</w:t>
            </w:r>
          </w:p>
        </w:tc>
      </w:tr>
      <w:tr w:rsidR="00C51DD8" w:rsidTr="006C5D7A">
        <w:trPr>
          <w:trHeight w:val="300"/>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C51DD8" w:rsidRPr="006C5D7A" w:rsidRDefault="00C51DD8" w:rsidP="00B6489E">
            <w:pPr>
              <w:keepNext/>
              <w:keepLines/>
              <w:spacing w:before="20"/>
              <w:jc w:val="center"/>
              <w:rPr>
                <w:color w:val="000000"/>
                <w:sz w:val="22"/>
                <w:szCs w:val="22"/>
              </w:rPr>
            </w:pPr>
            <w:r w:rsidRPr="006C5D7A">
              <w:rPr>
                <w:color w:val="000000"/>
                <w:sz w:val="22"/>
                <w:szCs w:val="22"/>
              </w:rPr>
              <w:t>Cogen National</w:t>
            </w:r>
          </w:p>
        </w:tc>
        <w:tc>
          <w:tcPr>
            <w:tcW w:w="1222" w:type="dxa"/>
            <w:tcBorders>
              <w:top w:val="nil"/>
              <w:left w:val="nil"/>
              <w:bottom w:val="single" w:sz="4" w:space="0" w:color="auto"/>
              <w:right w:val="single" w:sz="4" w:space="0" w:color="auto"/>
            </w:tcBorders>
            <w:shd w:val="clear" w:color="auto" w:fill="auto"/>
            <w:noWrap/>
            <w:vAlign w:val="bottom"/>
            <w:hideMark/>
          </w:tcPr>
          <w:p w:rsidR="00C51DD8" w:rsidRPr="006C5D7A" w:rsidRDefault="00C51DD8" w:rsidP="00B6489E">
            <w:pPr>
              <w:keepNext/>
              <w:keepLines/>
              <w:spacing w:before="20"/>
              <w:jc w:val="center"/>
              <w:rPr>
                <w:color w:val="000000"/>
                <w:sz w:val="22"/>
                <w:szCs w:val="22"/>
              </w:rPr>
            </w:pPr>
            <w:r w:rsidRPr="006C5D7A">
              <w:rPr>
                <w:color w:val="000000"/>
                <w:sz w:val="22"/>
                <w:szCs w:val="22"/>
              </w:rPr>
              <w:t>Cogeneration</w:t>
            </w:r>
          </w:p>
        </w:tc>
        <w:tc>
          <w:tcPr>
            <w:tcW w:w="1080" w:type="dxa"/>
            <w:tcBorders>
              <w:top w:val="nil"/>
              <w:left w:val="nil"/>
              <w:bottom w:val="single" w:sz="4" w:space="0" w:color="auto"/>
              <w:right w:val="single" w:sz="4" w:space="0" w:color="auto"/>
            </w:tcBorders>
            <w:shd w:val="clear" w:color="auto" w:fill="auto"/>
            <w:noWrap/>
            <w:vAlign w:val="bottom"/>
            <w:hideMark/>
          </w:tcPr>
          <w:p w:rsidR="00C51DD8" w:rsidRPr="006C5D7A" w:rsidRDefault="00C51DD8" w:rsidP="00B6489E">
            <w:pPr>
              <w:keepNext/>
              <w:keepLines/>
              <w:spacing w:before="20"/>
              <w:jc w:val="center"/>
              <w:rPr>
                <w:sz w:val="22"/>
                <w:szCs w:val="22"/>
              </w:rPr>
            </w:pPr>
            <w:r w:rsidRPr="006C5D7A">
              <w:rPr>
                <w:sz w:val="22"/>
                <w:szCs w:val="22"/>
              </w:rPr>
              <w:t>25.46</w:t>
            </w:r>
          </w:p>
        </w:tc>
      </w:tr>
      <w:tr w:rsidR="00C51DD8" w:rsidTr="006C5D7A">
        <w:trPr>
          <w:trHeight w:val="314"/>
        </w:trPr>
        <w:tc>
          <w:tcPr>
            <w:tcW w:w="2895" w:type="dxa"/>
            <w:tcBorders>
              <w:top w:val="nil"/>
              <w:left w:val="single" w:sz="4" w:space="0" w:color="auto"/>
              <w:bottom w:val="single" w:sz="4" w:space="0" w:color="auto"/>
              <w:right w:val="single" w:sz="4" w:space="0" w:color="auto"/>
            </w:tcBorders>
            <w:shd w:val="clear" w:color="auto" w:fill="auto"/>
            <w:noWrap/>
            <w:vAlign w:val="bottom"/>
            <w:hideMark/>
          </w:tcPr>
          <w:p w:rsidR="00C51DD8" w:rsidRPr="00586B1F" w:rsidRDefault="00C51DD8" w:rsidP="00B6489E">
            <w:pPr>
              <w:keepNext/>
              <w:keepLines/>
              <w:spacing w:before="120"/>
              <w:jc w:val="center"/>
              <w:rPr>
                <w:b/>
                <w:color w:val="000000"/>
              </w:rPr>
            </w:pPr>
            <w:r w:rsidRPr="00586B1F">
              <w:rPr>
                <w:b/>
                <w:color w:val="000000"/>
              </w:rPr>
              <w:t>Total</w:t>
            </w:r>
          </w:p>
        </w:tc>
        <w:tc>
          <w:tcPr>
            <w:tcW w:w="1222" w:type="dxa"/>
            <w:tcBorders>
              <w:top w:val="nil"/>
              <w:left w:val="nil"/>
              <w:bottom w:val="single" w:sz="4" w:space="0" w:color="auto"/>
              <w:right w:val="single" w:sz="4" w:space="0" w:color="auto"/>
            </w:tcBorders>
            <w:shd w:val="clear" w:color="auto" w:fill="auto"/>
            <w:noWrap/>
            <w:vAlign w:val="bottom"/>
            <w:hideMark/>
          </w:tcPr>
          <w:p w:rsidR="00C51DD8" w:rsidRPr="00586B1F" w:rsidRDefault="00C51DD8" w:rsidP="00B6489E">
            <w:pPr>
              <w:keepNext/>
              <w:keepLines/>
              <w:spacing w:before="120"/>
              <w:jc w:val="center"/>
              <w:rPr>
                <w:b/>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C51DD8" w:rsidRPr="00586B1F" w:rsidRDefault="00C51DD8" w:rsidP="00B6489E">
            <w:pPr>
              <w:keepNext/>
              <w:keepLines/>
              <w:spacing w:before="120"/>
              <w:jc w:val="center"/>
              <w:rPr>
                <w:b/>
                <w:color w:val="000000"/>
              </w:rPr>
            </w:pPr>
            <w:r w:rsidRPr="00586B1F">
              <w:rPr>
                <w:b/>
                <w:color w:val="000000"/>
              </w:rPr>
              <w:t>833.06</w:t>
            </w:r>
          </w:p>
        </w:tc>
      </w:tr>
    </w:tbl>
    <w:p w:rsidR="00C51DD8" w:rsidRDefault="00C51DD8" w:rsidP="00B6489E">
      <w:pPr>
        <w:keepNext/>
        <w:keepLines/>
        <w:spacing w:before="120"/>
        <w:rPr>
          <w:rFonts w:ascii="Calibri" w:hAnsi="Calibri"/>
          <w:color w:val="000000"/>
          <w:sz w:val="22"/>
          <w:szCs w:val="22"/>
        </w:rPr>
      </w:pPr>
      <w:r>
        <w:rPr>
          <w:rFonts w:ascii="Calibri" w:hAnsi="Calibri"/>
          <w:color w:val="000000"/>
          <w:sz w:val="22"/>
          <w:szCs w:val="22"/>
        </w:rPr>
        <w:t>Source: 2011 and 2012 NQC lists posted to the CPUC website</w:t>
      </w:r>
    </w:p>
    <w:p w:rsidR="00AE7D50" w:rsidRPr="00AD151D" w:rsidRDefault="00AE7D50" w:rsidP="00C51DD8">
      <w:pPr>
        <w:spacing w:before="120"/>
        <w:ind w:firstLine="720"/>
      </w:pPr>
      <w:r w:rsidRPr="00AD151D">
        <w:t>A summary of the current status of plants subject to CEC siting review</w:t>
      </w:r>
      <w:r w:rsidR="00C12957" w:rsidRPr="00AD151D">
        <w:t xml:space="preserve"> and under construction</w:t>
      </w:r>
      <w:r w:rsidRPr="00AD151D">
        <w:t xml:space="preserve">, which may eventually be added to California’s resource pool, </w:t>
      </w:r>
      <w:r w:rsidR="00591A9D" w:rsidRPr="00AD151D">
        <w:t xml:space="preserve">can be found on the </w:t>
      </w:r>
      <w:r w:rsidRPr="00AD151D">
        <w:t>CEC website.</w:t>
      </w:r>
      <w:r w:rsidRPr="00AD151D">
        <w:rPr>
          <w:rStyle w:val="FootnoteReference"/>
        </w:rPr>
        <w:footnoteReference w:id="25"/>
      </w:r>
      <w:r w:rsidRPr="00AD151D">
        <w:t xml:space="preserve">  </w:t>
      </w:r>
    </w:p>
    <w:p w:rsidR="00AE7D50" w:rsidRPr="00277DC8" w:rsidRDefault="00AE7D50" w:rsidP="003A49CB">
      <w:pPr>
        <w:pStyle w:val="Heading2"/>
        <w:numPr>
          <w:ilvl w:val="1"/>
          <w:numId w:val="18"/>
        </w:numPr>
        <w:spacing w:before="120"/>
        <w:rPr>
          <w:i w:val="0"/>
        </w:rPr>
      </w:pPr>
      <w:bookmarkStart w:id="80" w:name="_Toc223253255"/>
      <w:bookmarkStart w:id="81" w:name="_Toc223315667"/>
      <w:bookmarkStart w:id="82" w:name="_Toc224022441"/>
      <w:bookmarkStart w:id="83" w:name="_Toc347827052"/>
      <w:r w:rsidRPr="00277DC8">
        <w:rPr>
          <w:i w:val="0"/>
        </w:rPr>
        <w:t>Establishment of Final NQC Values</w:t>
      </w:r>
      <w:bookmarkEnd w:id="83"/>
      <w:r w:rsidRPr="00277DC8">
        <w:rPr>
          <w:i w:val="0"/>
        </w:rPr>
        <w:t xml:space="preserve"> </w:t>
      </w:r>
      <w:bookmarkEnd w:id="80"/>
      <w:bookmarkEnd w:id="81"/>
      <w:bookmarkEnd w:id="82"/>
    </w:p>
    <w:p w:rsidR="00AE7D50" w:rsidRPr="00AD151D" w:rsidRDefault="00AE7D50">
      <w:pPr>
        <w:spacing w:before="120"/>
        <w:ind w:firstLine="720"/>
      </w:pPr>
      <w:r w:rsidRPr="00AD151D">
        <w:t xml:space="preserve">Input data to calculate the NQC values comes from the CAISO </w:t>
      </w:r>
      <w:r w:rsidR="001F7D86">
        <w:t xml:space="preserve">and </w:t>
      </w:r>
      <w:r w:rsidRPr="00AD151D">
        <w:t>IOUs</w:t>
      </w:r>
      <w:r w:rsidR="001F7D86">
        <w:t>.</w:t>
      </w:r>
      <w:r w:rsidRPr="00AD151D">
        <w:t xml:space="preserve">  The applicable data sets and data conventions are laid out in the Adopted QC methodology </w:t>
      </w:r>
      <w:r w:rsidRPr="00AD151D">
        <w:lastRenderedPageBreak/>
        <w:t>manual, which is posted to the CPUC website.</w:t>
      </w:r>
      <w:r w:rsidRPr="00AD151D">
        <w:rPr>
          <w:rStyle w:val="FootnoteReference"/>
        </w:rPr>
        <w:footnoteReference w:id="26"/>
      </w:r>
      <w:r w:rsidRPr="00AD151D">
        <w:t xml:space="preserve">  The NQC list includes information related to; Local Area, Zonal Area, and Deliverability for each resource.  Energy Division performs the QC calculations each summer, and then posts the NQC list to the CPUC website.</w:t>
      </w:r>
      <w:r w:rsidRPr="00AD151D">
        <w:rPr>
          <w:rStyle w:val="FootnoteReference"/>
        </w:rPr>
        <w:footnoteReference w:id="27"/>
      </w:r>
      <w:r w:rsidRPr="00AD151D">
        <w:t xml:space="preserve">  Once posted </w:t>
      </w:r>
      <w:r w:rsidR="00BB3463">
        <w:t xml:space="preserve">no changes are permitted on the list </w:t>
      </w:r>
      <w:r w:rsidRPr="00AD151D">
        <w:t>except to add new resources or correct cle</w:t>
      </w:r>
      <w:r w:rsidR="00BB3463">
        <w:t>rical</w:t>
      </w:r>
      <w:r w:rsidRPr="00AD151D">
        <w:t xml:space="preserve"> errors.   </w:t>
      </w:r>
    </w:p>
    <w:p w:rsidR="00AE7D50" w:rsidRPr="00277DC8" w:rsidRDefault="00AE7D50">
      <w:pPr>
        <w:pStyle w:val="Heading2"/>
        <w:numPr>
          <w:ilvl w:val="1"/>
          <w:numId w:val="18"/>
        </w:numPr>
        <w:spacing w:before="120"/>
        <w:rPr>
          <w:i w:val="0"/>
        </w:rPr>
      </w:pPr>
      <w:bookmarkStart w:id="84" w:name="_Toc223253256"/>
      <w:bookmarkStart w:id="85" w:name="_Toc223315668"/>
      <w:bookmarkStart w:id="86" w:name="_Toc224022442"/>
      <w:bookmarkStart w:id="87" w:name="_Toc347827053"/>
      <w:r w:rsidRPr="00277DC8">
        <w:rPr>
          <w:i w:val="0"/>
        </w:rPr>
        <w:t>Aggregate NQC Values 2006 through 2011</w:t>
      </w:r>
      <w:bookmarkEnd w:id="84"/>
      <w:bookmarkEnd w:id="85"/>
      <w:bookmarkEnd w:id="86"/>
      <w:bookmarkEnd w:id="87"/>
    </w:p>
    <w:p w:rsidR="00AE7D50" w:rsidRPr="00AD151D" w:rsidRDefault="00F27FC0">
      <w:pPr>
        <w:spacing w:before="120"/>
        <w:ind w:firstLine="720"/>
      </w:pPr>
      <w:r w:rsidRPr="00AD151D">
        <w:fldChar w:fldCharType="begin"/>
      </w:r>
      <w:r w:rsidRPr="00AD151D">
        <w:instrText xml:space="preserve"> REF _Ref223921297 \h  \* MERGEFORMAT </w:instrText>
      </w:r>
      <w:r w:rsidRPr="00AD151D">
        <w:fldChar w:fldCharType="separate"/>
      </w:r>
      <w:r w:rsidR="00B3535E" w:rsidRPr="00B3535E">
        <w:t>Table 8</w:t>
      </w:r>
      <w:r w:rsidRPr="00AD151D">
        <w:fldChar w:fldCharType="end"/>
      </w:r>
      <w:r w:rsidR="00AE7D50" w:rsidRPr="00AD151D">
        <w:t xml:space="preserve"> shows aggregate NQC values from the CAISO NQC list for 2006-2011.  While many large resources have become available over the previous few years, total NQC has not grown accordingly, partially due to resources retiring and the </w:t>
      </w:r>
      <w:r w:rsidR="00E657F3">
        <w:t>e</w:t>
      </w:r>
      <w:r w:rsidR="00AE7D50" w:rsidRPr="00AD151D">
        <w:t xml:space="preserve">ffect of new CPUC QC counting conventions that decrease the NQC of many intermittent resources.  Part of the change in NQC values has been a gradual increase in the number of resources that receive a monthly NQC value instead of an annual NQC value.  While several resources now receive a monthly value pursuant to changes in QC counting conventions adopted by the Commission (most notably, cogeneration and hydro resources now get monthly values) several larger thermal resources have begun to supply information to support monthly NQC values in light of performance </w:t>
      </w:r>
      <w:r w:rsidR="00BB3463">
        <w:t xml:space="preserve">due to </w:t>
      </w:r>
      <w:r w:rsidR="00AE7D50" w:rsidRPr="00AD151D">
        <w:t>differing ambient weather conditions.   For those facilities that were given monthly NQC values, this table shows August NQC values.</w:t>
      </w:r>
    </w:p>
    <w:p w:rsidR="00AE7D50" w:rsidRPr="00AD151D" w:rsidRDefault="00AE7D50">
      <w:pPr>
        <w:pStyle w:val="Caption"/>
        <w:keepNext/>
        <w:keepLines/>
        <w:spacing w:before="120"/>
        <w:rPr>
          <w:sz w:val="22"/>
          <w:szCs w:val="22"/>
        </w:rPr>
      </w:pPr>
      <w:bookmarkStart w:id="88" w:name="_Ref223921297"/>
      <w:bookmarkStart w:id="89" w:name="_Toc347827078"/>
      <w:r w:rsidRPr="00AD151D">
        <w:rPr>
          <w:sz w:val="22"/>
          <w:szCs w:val="22"/>
        </w:rPr>
        <w:t xml:space="preserve">Table </w:t>
      </w:r>
      <w:r w:rsidRPr="00AD151D">
        <w:rPr>
          <w:sz w:val="22"/>
          <w:szCs w:val="22"/>
        </w:rPr>
        <w:fldChar w:fldCharType="begin"/>
      </w:r>
      <w:r w:rsidRPr="00AD151D">
        <w:rPr>
          <w:sz w:val="22"/>
          <w:szCs w:val="22"/>
        </w:rPr>
        <w:instrText xml:space="preserve"> SEQ Table \* ARABIC </w:instrText>
      </w:r>
      <w:r w:rsidRPr="00AD151D">
        <w:rPr>
          <w:sz w:val="22"/>
          <w:szCs w:val="22"/>
        </w:rPr>
        <w:fldChar w:fldCharType="separate"/>
      </w:r>
      <w:r w:rsidR="00B3535E">
        <w:rPr>
          <w:noProof/>
          <w:sz w:val="22"/>
          <w:szCs w:val="22"/>
        </w:rPr>
        <w:t>8</w:t>
      </w:r>
      <w:r w:rsidRPr="00AD151D">
        <w:rPr>
          <w:sz w:val="22"/>
          <w:szCs w:val="22"/>
        </w:rPr>
        <w:fldChar w:fldCharType="end"/>
      </w:r>
      <w:bookmarkEnd w:id="88"/>
      <w:r w:rsidRPr="00AD151D">
        <w:rPr>
          <w:sz w:val="22"/>
          <w:szCs w:val="22"/>
        </w:rPr>
        <w:t>.  NQC for 2006-2011</w:t>
      </w:r>
      <w:bookmarkEnd w:id="89"/>
    </w:p>
    <w:tbl>
      <w:tblPr>
        <w:tblW w:w="7025" w:type="dxa"/>
        <w:tblInd w:w="103" w:type="dxa"/>
        <w:tblLook w:val="0000" w:firstRow="0" w:lastRow="0" w:firstColumn="0" w:lastColumn="0" w:noHBand="0" w:noVBand="0"/>
      </w:tblPr>
      <w:tblGrid>
        <w:gridCol w:w="905"/>
        <w:gridCol w:w="1260"/>
        <w:gridCol w:w="1980"/>
        <w:gridCol w:w="1440"/>
        <w:gridCol w:w="1440"/>
      </w:tblGrid>
      <w:tr w:rsidR="00AE7D50" w:rsidRPr="00AD151D">
        <w:trPr>
          <w:trHeight w:val="255"/>
        </w:trPr>
        <w:tc>
          <w:tcPr>
            <w:tcW w:w="905" w:type="dxa"/>
            <w:tcBorders>
              <w:top w:val="single" w:sz="4" w:space="0" w:color="auto"/>
              <w:left w:val="single" w:sz="4" w:space="0" w:color="auto"/>
              <w:bottom w:val="single" w:sz="4" w:space="0" w:color="auto"/>
              <w:right w:val="single" w:sz="4" w:space="0" w:color="auto"/>
            </w:tcBorders>
            <w:noWrap/>
            <w:vAlign w:val="bottom"/>
          </w:tcPr>
          <w:p w:rsidR="00AE7D50" w:rsidRPr="00AD151D" w:rsidRDefault="00AE7D50">
            <w:pPr>
              <w:keepNext/>
              <w:keepLines/>
              <w:jc w:val="center"/>
            </w:pPr>
            <w:r w:rsidRPr="00AD151D">
              <w:t>Year</w:t>
            </w:r>
          </w:p>
        </w:tc>
        <w:tc>
          <w:tcPr>
            <w:tcW w:w="1260" w:type="dxa"/>
            <w:tcBorders>
              <w:top w:val="single" w:sz="4" w:space="0" w:color="auto"/>
              <w:left w:val="nil"/>
              <w:bottom w:val="single" w:sz="4" w:space="0" w:color="auto"/>
              <w:right w:val="single" w:sz="4" w:space="0" w:color="auto"/>
            </w:tcBorders>
            <w:noWrap/>
            <w:vAlign w:val="bottom"/>
          </w:tcPr>
          <w:p w:rsidR="00AE7D50" w:rsidRPr="00AD151D" w:rsidRDefault="00AE7D50">
            <w:pPr>
              <w:keepNext/>
              <w:keepLines/>
              <w:jc w:val="center"/>
            </w:pPr>
            <w:r w:rsidRPr="00AD151D">
              <w:t>Total NQC (MW)</w:t>
            </w:r>
          </w:p>
        </w:tc>
        <w:tc>
          <w:tcPr>
            <w:tcW w:w="1980" w:type="dxa"/>
            <w:tcBorders>
              <w:top w:val="single" w:sz="4" w:space="0" w:color="auto"/>
              <w:left w:val="nil"/>
              <w:bottom w:val="single" w:sz="4" w:space="0" w:color="auto"/>
              <w:right w:val="single" w:sz="4" w:space="0" w:color="auto"/>
            </w:tcBorders>
            <w:noWrap/>
            <w:vAlign w:val="bottom"/>
          </w:tcPr>
          <w:p w:rsidR="00AE7D50" w:rsidRPr="00AD151D" w:rsidRDefault="00AE7D50">
            <w:pPr>
              <w:keepNext/>
              <w:keepLines/>
              <w:jc w:val="center"/>
            </w:pPr>
            <w:r w:rsidRPr="00AD151D">
              <w:t>Total Number of  Scheduling Resource IDs</w:t>
            </w:r>
          </w:p>
        </w:tc>
        <w:tc>
          <w:tcPr>
            <w:tcW w:w="1440" w:type="dxa"/>
            <w:tcBorders>
              <w:top w:val="single" w:sz="4" w:space="0" w:color="auto"/>
              <w:left w:val="nil"/>
              <w:bottom w:val="single" w:sz="4" w:space="0" w:color="auto"/>
              <w:right w:val="single" w:sz="4" w:space="0" w:color="auto"/>
            </w:tcBorders>
            <w:noWrap/>
            <w:vAlign w:val="bottom"/>
          </w:tcPr>
          <w:p w:rsidR="00AE7D50" w:rsidRPr="00AD151D" w:rsidRDefault="00AE7D50">
            <w:pPr>
              <w:keepNext/>
              <w:keepLines/>
              <w:jc w:val="center"/>
            </w:pPr>
            <w:r w:rsidRPr="00AD151D">
              <w:t>Net NQC change (MW)</w:t>
            </w:r>
          </w:p>
        </w:tc>
        <w:tc>
          <w:tcPr>
            <w:tcW w:w="1440" w:type="dxa"/>
            <w:tcBorders>
              <w:top w:val="single" w:sz="4" w:space="0" w:color="auto"/>
              <w:left w:val="nil"/>
              <w:bottom w:val="single" w:sz="4" w:space="0" w:color="auto"/>
              <w:right w:val="single" w:sz="4" w:space="0" w:color="auto"/>
            </w:tcBorders>
            <w:noWrap/>
            <w:vAlign w:val="bottom"/>
          </w:tcPr>
          <w:p w:rsidR="00AE7D50" w:rsidRPr="00AD151D" w:rsidRDefault="00AE7D50">
            <w:pPr>
              <w:keepNext/>
              <w:keepLines/>
              <w:jc w:val="center"/>
            </w:pPr>
            <w:r w:rsidRPr="00AD151D">
              <w:t>Net Gain in CAISO IDs on list</w:t>
            </w:r>
          </w:p>
        </w:tc>
      </w:tr>
      <w:tr w:rsidR="00AE7D50" w:rsidRPr="00AD151D">
        <w:trPr>
          <w:trHeight w:val="255"/>
        </w:trPr>
        <w:tc>
          <w:tcPr>
            <w:tcW w:w="905" w:type="dxa"/>
            <w:tcBorders>
              <w:top w:val="single" w:sz="4" w:space="0" w:color="auto"/>
              <w:left w:val="single" w:sz="4" w:space="0" w:color="auto"/>
              <w:bottom w:val="single" w:sz="4" w:space="0" w:color="auto"/>
              <w:right w:val="single" w:sz="4" w:space="0" w:color="auto"/>
            </w:tcBorders>
            <w:noWrap/>
            <w:vAlign w:val="bottom"/>
          </w:tcPr>
          <w:p w:rsidR="00AE7D50" w:rsidRPr="00AD151D" w:rsidRDefault="00AE7D50">
            <w:pPr>
              <w:keepNext/>
              <w:keepLines/>
              <w:jc w:val="center"/>
            </w:pPr>
            <w:r w:rsidRPr="00AD151D">
              <w:t>2006</w:t>
            </w:r>
          </w:p>
        </w:tc>
        <w:tc>
          <w:tcPr>
            <w:tcW w:w="1260" w:type="dxa"/>
            <w:tcBorders>
              <w:top w:val="single" w:sz="4" w:space="0" w:color="auto"/>
              <w:left w:val="nil"/>
              <w:bottom w:val="single" w:sz="4" w:space="0" w:color="auto"/>
              <w:right w:val="single" w:sz="4" w:space="0" w:color="auto"/>
            </w:tcBorders>
            <w:noWrap/>
            <w:vAlign w:val="bottom"/>
          </w:tcPr>
          <w:p w:rsidR="00AE7D50" w:rsidRPr="00AD151D" w:rsidRDefault="00AE7D50">
            <w:pPr>
              <w:keepNext/>
              <w:keepLines/>
              <w:jc w:val="center"/>
            </w:pPr>
            <w:r w:rsidRPr="00AD151D">
              <w:t>46,687</w:t>
            </w:r>
          </w:p>
        </w:tc>
        <w:tc>
          <w:tcPr>
            <w:tcW w:w="1980" w:type="dxa"/>
            <w:tcBorders>
              <w:top w:val="single" w:sz="4" w:space="0" w:color="auto"/>
              <w:left w:val="nil"/>
              <w:bottom w:val="single" w:sz="4" w:space="0" w:color="auto"/>
              <w:right w:val="single" w:sz="4" w:space="0" w:color="auto"/>
            </w:tcBorders>
            <w:noWrap/>
            <w:vAlign w:val="bottom"/>
          </w:tcPr>
          <w:p w:rsidR="00AE7D50" w:rsidRPr="00AD151D" w:rsidRDefault="00AE7D50">
            <w:pPr>
              <w:keepNext/>
              <w:keepLines/>
              <w:jc w:val="center"/>
            </w:pPr>
            <w:r w:rsidRPr="00AD151D">
              <w:t>563</w:t>
            </w:r>
          </w:p>
        </w:tc>
        <w:tc>
          <w:tcPr>
            <w:tcW w:w="1440" w:type="dxa"/>
            <w:tcBorders>
              <w:top w:val="single" w:sz="4" w:space="0" w:color="auto"/>
              <w:left w:val="nil"/>
              <w:bottom w:val="single" w:sz="4" w:space="0" w:color="auto"/>
              <w:right w:val="single" w:sz="4" w:space="0" w:color="auto"/>
            </w:tcBorders>
            <w:noWrap/>
            <w:vAlign w:val="bottom"/>
          </w:tcPr>
          <w:p w:rsidR="00AE7D50" w:rsidRPr="00AD151D" w:rsidRDefault="00AE7D50">
            <w:pPr>
              <w:keepNext/>
              <w:keepLines/>
              <w:jc w:val="center"/>
            </w:pPr>
            <w:r w:rsidRPr="00AD151D">
              <w:t> </w:t>
            </w:r>
          </w:p>
        </w:tc>
        <w:tc>
          <w:tcPr>
            <w:tcW w:w="1440" w:type="dxa"/>
            <w:tcBorders>
              <w:top w:val="single" w:sz="4" w:space="0" w:color="auto"/>
              <w:left w:val="nil"/>
              <w:bottom w:val="single" w:sz="4" w:space="0" w:color="auto"/>
              <w:right w:val="single" w:sz="4" w:space="0" w:color="auto"/>
            </w:tcBorders>
            <w:noWrap/>
            <w:vAlign w:val="bottom"/>
          </w:tcPr>
          <w:p w:rsidR="00AE7D50" w:rsidRPr="00AD151D" w:rsidRDefault="00AE7D50">
            <w:pPr>
              <w:keepNext/>
              <w:keepLines/>
              <w:jc w:val="center"/>
            </w:pPr>
            <w:r w:rsidRPr="00AD151D">
              <w:t> </w:t>
            </w:r>
          </w:p>
        </w:tc>
      </w:tr>
      <w:tr w:rsidR="00AE7D50" w:rsidRPr="00AD151D">
        <w:trPr>
          <w:trHeight w:val="255"/>
        </w:trPr>
        <w:tc>
          <w:tcPr>
            <w:tcW w:w="905" w:type="dxa"/>
            <w:tcBorders>
              <w:top w:val="single" w:sz="4" w:space="0" w:color="auto"/>
              <w:left w:val="single" w:sz="4" w:space="0" w:color="auto"/>
              <w:bottom w:val="single" w:sz="4" w:space="0" w:color="auto"/>
              <w:right w:val="single" w:sz="4" w:space="0" w:color="auto"/>
            </w:tcBorders>
            <w:noWrap/>
            <w:vAlign w:val="bottom"/>
          </w:tcPr>
          <w:p w:rsidR="00AE7D50" w:rsidRPr="00AD151D" w:rsidRDefault="00AE7D50">
            <w:pPr>
              <w:keepNext/>
              <w:keepLines/>
              <w:jc w:val="center"/>
            </w:pPr>
            <w:r w:rsidRPr="00AD151D">
              <w:t>2007</w:t>
            </w:r>
          </w:p>
        </w:tc>
        <w:tc>
          <w:tcPr>
            <w:tcW w:w="1260" w:type="dxa"/>
            <w:tcBorders>
              <w:top w:val="single" w:sz="4" w:space="0" w:color="auto"/>
              <w:left w:val="nil"/>
              <w:bottom w:val="single" w:sz="4" w:space="0" w:color="auto"/>
              <w:right w:val="single" w:sz="4" w:space="0" w:color="auto"/>
            </w:tcBorders>
            <w:noWrap/>
            <w:vAlign w:val="bottom"/>
          </w:tcPr>
          <w:p w:rsidR="00AE7D50" w:rsidRPr="00AD151D" w:rsidRDefault="00AE7D50">
            <w:pPr>
              <w:keepNext/>
              <w:keepLines/>
              <w:jc w:val="center"/>
            </w:pPr>
            <w:r w:rsidRPr="00AD151D">
              <w:t>46,504</w:t>
            </w:r>
          </w:p>
        </w:tc>
        <w:tc>
          <w:tcPr>
            <w:tcW w:w="1980" w:type="dxa"/>
            <w:tcBorders>
              <w:top w:val="single" w:sz="4" w:space="0" w:color="auto"/>
              <w:left w:val="nil"/>
              <w:bottom w:val="single" w:sz="4" w:space="0" w:color="auto"/>
              <w:right w:val="single" w:sz="4" w:space="0" w:color="auto"/>
            </w:tcBorders>
            <w:noWrap/>
            <w:vAlign w:val="bottom"/>
          </w:tcPr>
          <w:p w:rsidR="00AE7D50" w:rsidRPr="00AD151D" w:rsidRDefault="00AE7D50">
            <w:pPr>
              <w:keepNext/>
              <w:keepLines/>
              <w:jc w:val="center"/>
            </w:pPr>
            <w:r w:rsidRPr="00AD151D">
              <w:t>572</w:t>
            </w:r>
          </w:p>
        </w:tc>
        <w:tc>
          <w:tcPr>
            <w:tcW w:w="1440" w:type="dxa"/>
            <w:tcBorders>
              <w:top w:val="single" w:sz="4" w:space="0" w:color="auto"/>
              <w:left w:val="nil"/>
              <w:bottom w:val="single" w:sz="4" w:space="0" w:color="auto"/>
              <w:right w:val="single" w:sz="4" w:space="0" w:color="auto"/>
            </w:tcBorders>
            <w:noWrap/>
            <w:vAlign w:val="bottom"/>
          </w:tcPr>
          <w:p w:rsidR="00AE7D50" w:rsidRPr="00AD151D" w:rsidRDefault="00AE7D50">
            <w:pPr>
              <w:keepNext/>
              <w:keepLines/>
              <w:jc w:val="center"/>
            </w:pPr>
            <w:r w:rsidRPr="00AD151D">
              <w:t>(183)</w:t>
            </w:r>
          </w:p>
        </w:tc>
        <w:tc>
          <w:tcPr>
            <w:tcW w:w="1440" w:type="dxa"/>
            <w:tcBorders>
              <w:top w:val="single" w:sz="4" w:space="0" w:color="auto"/>
              <w:left w:val="nil"/>
              <w:bottom w:val="single" w:sz="4" w:space="0" w:color="auto"/>
              <w:right w:val="single" w:sz="4" w:space="0" w:color="auto"/>
            </w:tcBorders>
            <w:noWrap/>
            <w:vAlign w:val="bottom"/>
          </w:tcPr>
          <w:p w:rsidR="00AE7D50" w:rsidRPr="00AD151D" w:rsidRDefault="00AE7D50">
            <w:pPr>
              <w:keepNext/>
              <w:keepLines/>
              <w:jc w:val="center"/>
            </w:pPr>
            <w:r w:rsidRPr="00AD151D">
              <w:t>9</w:t>
            </w:r>
          </w:p>
        </w:tc>
      </w:tr>
      <w:tr w:rsidR="00AE7D50" w:rsidRPr="00AD151D">
        <w:trPr>
          <w:trHeight w:val="255"/>
        </w:trPr>
        <w:tc>
          <w:tcPr>
            <w:tcW w:w="905" w:type="dxa"/>
            <w:tcBorders>
              <w:top w:val="single" w:sz="4" w:space="0" w:color="auto"/>
              <w:left w:val="single" w:sz="4" w:space="0" w:color="auto"/>
              <w:bottom w:val="single" w:sz="4" w:space="0" w:color="auto"/>
              <w:right w:val="single" w:sz="4" w:space="0" w:color="auto"/>
            </w:tcBorders>
            <w:noWrap/>
            <w:vAlign w:val="bottom"/>
          </w:tcPr>
          <w:p w:rsidR="00AE7D50" w:rsidRPr="00AD151D" w:rsidRDefault="00AE7D50">
            <w:pPr>
              <w:keepNext/>
              <w:keepLines/>
              <w:jc w:val="center"/>
            </w:pPr>
            <w:r w:rsidRPr="00AD151D">
              <w:t>2008</w:t>
            </w:r>
          </w:p>
        </w:tc>
        <w:tc>
          <w:tcPr>
            <w:tcW w:w="1260" w:type="dxa"/>
            <w:tcBorders>
              <w:top w:val="single" w:sz="4" w:space="0" w:color="auto"/>
              <w:left w:val="nil"/>
              <w:bottom w:val="single" w:sz="4" w:space="0" w:color="auto"/>
              <w:right w:val="single" w:sz="4" w:space="0" w:color="auto"/>
            </w:tcBorders>
            <w:noWrap/>
            <w:vAlign w:val="bottom"/>
          </w:tcPr>
          <w:p w:rsidR="00AE7D50" w:rsidRPr="00AD151D" w:rsidRDefault="00AE7D50">
            <w:pPr>
              <w:keepNext/>
              <w:keepLines/>
              <w:jc w:val="center"/>
            </w:pPr>
            <w:r w:rsidRPr="00AD151D">
              <w:t>48,056</w:t>
            </w:r>
          </w:p>
        </w:tc>
        <w:tc>
          <w:tcPr>
            <w:tcW w:w="1980" w:type="dxa"/>
            <w:tcBorders>
              <w:top w:val="single" w:sz="4" w:space="0" w:color="auto"/>
              <w:left w:val="nil"/>
              <w:bottom w:val="single" w:sz="4" w:space="0" w:color="auto"/>
              <w:right w:val="single" w:sz="4" w:space="0" w:color="auto"/>
            </w:tcBorders>
            <w:noWrap/>
            <w:vAlign w:val="bottom"/>
          </w:tcPr>
          <w:p w:rsidR="00AE7D50" w:rsidRPr="00AD151D" w:rsidRDefault="00AE7D50">
            <w:pPr>
              <w:keepNext/>
              <w:keepLines/>
              <w:jc w:val="center"/>
            </w:pPr>
            <w:r w:rsidRPr="00AD151D">
              <w:t>600</w:t>
            </w:r>
          </w:p>
        </w:tc>
        <w:tc>
          <w:tcPr>
            <w:tcW w:w="1440" w:type="dxa"/>
            <w:tcBorders>
              <w:top w:val="single" w:sz="4" w:space="0" w:color="auto"/>
              <w:left w:val="nil"/>
              <w:bottom w:val="single" w:sz="4" w:space="0" w:color="auto"/>
              <w:right w:val="single" w:sz="4" w:space="0" w:color="auto"/>
            </w:tcBorders>
            <w:noWrap/>
            <w:vAlign w:val="bottom"/>
          </w:tcPr>
          <w:p w:rsidR="00AE7D50" w:rsidRPr="00AD151D" w:rsidRDefault="00AE7D50">
            <w:pPr>
              <w:keepNext/>
              <w:keepLines/>
              <w:jc w:val="center"/>
            </w:pPr>
            <w:r w:rsidRPr="00AD151D">
              <w:t>1,552</w:t>
            </w:r>
          </w:p>
        </w:tc>
        <w:tc>
          <w:tcPr>
            <w:tcW w:w="1440" w:type="dxa"/>
            <w:tcBorders>
              <w:top w:val="single" w:sz="4" w:space="0" w:color="auto"/>
              <w:left w:val="nil"/>
              <w:bottom w:val="single" w:sz="4" w:space="0" w:color="auto"/>
              <w:right w:val="single" w:sz="4" w:space="0" w:color="auto"/>
            </w:tcBorders>
            <w:noWrap/>
            <w:vAlign w:val="bottom"/>
          </w:tcPr>
          <w:p w:rsidR="00AE7D50" w:rsidRPr="00AD151D" w:rsidRDefault="00AE7D50">
            <w:pPr>
              <w:keepNext/>
              <w:keepLines/>
              <w:jc w:val="center"/>
            </w:pPr>
            <w:r w:rsidRPr="00AD151D">
              <w:t>30</w:t>
            </w:r>
          </w:p>
        </w:tc>
      </w:tr>
      <w:tr w:rsidR="00AE7D50" w:rsidRPr="00AD151D">
        <w:trPr>
          <w:trHeight w:val="255"/>
        </w:trPr>
        <w:tc>
          <w:tcPr>
            <w:tcW w:w="905" w:type="dxa"/>
            <w:tcBorders>
              <w:top w:val="single" w:sz="4" w:space="0" w:color="auto"/>
              <w:left w:val="single" w:sz="4" w:space="0" w:color="auto"/>
              <w:bottom w:val="single" w:sz="4" w:space="0" w:color="auto"/>
              <w:right w:val="single" w:sz="4" w:space="0" w:color="auto"/>
            </w:tcBorders>
            <w:noWrap/>
            <w:vAlign w:val="bottom"/>
          </w:tcPr>
          <w:p w:rsidR="00AE7D50" w:rsidRPr="00AD151D" w:rsidRDefault="00AE7D50">
            <w:pPr>
              <w:keepNext/>
              <w:keepLines/>
              <w:jc w:val="center"/>
            </w:pPr>
            <w:r w:rsidRPr="00AD151D">
              <w:t>2009</w:t>
            </w:r>
          </w:p>
        </w:tc>
        <w:tc>
          <w:tcPr>
            <w:tcW w:w="1260" w:type="dxa"/>
            <w:tcBorders>
              <w:top w:val="single" w:sz="4" w:space="0" w:color="auto"/>
              <w:left w:val="nil"/>
              <w:bottom w:val="single" w:sz="4" w:space="0" w:color="auto"/>
              <w:right w:val="single" w:sz="4" w:space="0" w:color="auto"/>
            </w:tcBorders>
            <w:noWrap/>
            <w:vAlign w:val="bottom"/>
          </w:tcPr>
          <w:p w:rsidR="00AE7D50" w:rsidRPr="00AD151D" w:rsidRDefault="00AE7D50">
            <w:pPr>
              <w:keepNext/>
              <w:keepLines/>
              <w:jc w:val="center"/>
            </w:pPr>
            <w:r w:rsidRPr="00AD151D">
              <w:t>48,899</w:t>
            </w:r>
          </w:p>
        </w:tc>
        <w:tc>
          <w:tcPr>
            <w:tcW w:w="1980" w:type="dxa"/>
            <w:tcBorders>
              <w:top w:val="single" w:sz="4" w:space="0" w:color="auto"/>
              <w:left w:val="nil"/>
              <w:bottom w:val="single" w:sz="4" w:space="0" w:color="auto"/>
              <w:right w:val="single" w:sz="4" w:space="0" w:color="auto"/>
            </w:tcBorders>
            <w:noWrap/>
            <w:vAlign w:val="bottom"/>
          </w:tcPr>
          <w:p w:rsidR="00AE7D50" w:rsidRPr="00AD151D" w:rsidRDefault="00AE7D50">
            <w:pPr>
              <w:keepNext/>
              <w:keepLines/>
              <w:jc w:val="center"/>
            </w:pPr>
            <w:r w:rsidRPr="00AD151D">
              <w:t>613</w:t>
            </w:r>
          </w:p>
        </w:tc>
        <w:tc>
          <w:tcPr>
            <w:tcW w:w="1440" w:type="dxa"/>
            <w:tcBorders>
              <w:top w:val="single" w:sz="4" w:space="0" w:color="auto"/>
              <w:left w:val="nil"/>
              <w:bottom w:val="single" w:sz="4" w:space="0" w:color="auto"/>
              <w:right w:val="single" w:sz="4" w:space="0" w:color="auto"/>
            </w:tcBorders>
            <w:noWrap/>
            <w:vAlign w:val="bottom"/>
          </w:tcPr>
          <w:p w:rsidR="00AE7D50" w:rsidRPr="00AD151D" w:rsidRDefault="00AE7D50">
            <w:pPr>
              <w:keepNext/>
              <w:keepLines/>
              <w:jc w:val="center"/>
            </w:pPr>
            <w:r w:rsidRPr="00AD151D">
              <w:t>843</w:t>
            </w:r>
          </w:p>
        </w:tc>
        <w:tc>
          <w:tcPr>
            <w:tcW w:w="1440" w:type="dxa"/>
            <w:tcBorders>
              <w:top w:val="single" w:sz="4" w:space="0" w:color="auto"/>
              <w:left w:val="nil"/>
              <w:bottom w:val="single" w:sz="4" w:space="0" w:color="auto"/>
              <w:right w:val="single" w:sz="4" w:space="0" w:color="auto"/>
            </w:tcBorders>
            <w:noWrap/>
            <w:vAlign w:val="bottom"/>
          </w:tcPr>
          <w:p w:rsidR="00AE7D50" w:rsidRPr="00AD151D" w:rsidRDefault="00AE7D50">
            <w:pPr>
              <w:keepNext/>
              <w:keepLines/>
              <w:jc w:val="center"/>
            </w:pPr>
            <w:r w:rsidRPr="00AD151D">
              <w:t>13</w:t>
            </w:r>
          </w:p>
        </w:tc>
      </w:tr>
      <w:tr w:rsidR="00AE7D50" w:rsidRPr="00AD151D">
        <w:trPr>
          <w:trHeight w:val="255"/>
        </w:trPr>
        <w:tc>
          <w:tcPr>
            <w:tcW w:w="905" w:type="dxa"/>
            <w:tcBorders>
              <w:top w:val="single" w:sz="4" w:space="0" w:color="auto"/>
              <w:left w:val="single" w:sz="4" w:space="0" w:color="auto"/>
              <w:bottom w:val="single" w:sz="4" w:space="0" w:color="auto"/>
              <w:right w:val="single" w:sz="4" w:space="0" w:color="auto"/>
            </w:tcBorders>
            <w:noWrap/>
            <w:vAlign w:val="bottom"/>
          </w:tcPr>
          <w:p w:rsidR="00AE7D50" w:rsidRPr="00AD151D" w:rsidRDefault="00AE7D50">
            <w:pPr>
              <w:keepNext/>
              <w:keepLines/>
              <w:jc w:val="center"/>
            </w:pPr>
            <w:r w:rsidRPr="00AD151D">
              <w:t>2010</w:t>
            </w:r>
          </w:p>
        </w:tc>
        <w:tc>
          <w:tcPr>
            <w:tcW w:w="1260" w:type="dxa"/>
            <w:tcBorders>
              <w:top w:val="single" w:sz="4" w:space="0" w:color="auto"/>
              <w:left w:val="nil"/>
              <w:bottom w:val="single" w:sz="4" w:space="0" w:color="auto"/>
              <w:right w:val="single" w:sz="4" w:space="0" w:color="auto"/>
            </w:tcBorders>
            <w:noWrap/>
            <w:vAlign w:val="bottom"/>
          </w:tcPr>
          <w:p w:rsidR="00AE7D50" w:rsidRPr="00AD151D" w:rsidRDefault="00AE7D50">
            <w:pPr>
              <w:keepNext/>
              <w:keepLines/>
              <w:jc w:val="center"/>
            </w:pPr>
            <w:r w:rsidRPr="00AD151D">
              <w:t>51,790</w:t>
            </w:r>
          </w:p>
        </w:tc>
        <w:tc>
          <w:tcPr>
            <w:tcW w:w="1980" w:type="dxa"/>
            <w:tcBorders>
              <w:top w:val="single" w:sz="4" w:space="0" w:color="auto"/>
              <w:left w:val="nil"/>
              <w:bottom w:val="single" w:sz="4" w:space="0" w:color="auto"/>
              <w:right w:val="single" w:sz="4" w:space="0" w:color="auto"/>
            </w:tcBorders>
            <w:noWrap/>
            <w:vAlign w:val="bottom"/>
          </w:tcPr>
          <w:p w:rsidR="00AE7D50" w:rsidRPr="00AD151D" w:rsidRDefault="00AE7D50">
            <w:pPr>
              <w:keepNext/>
              <w:keepLines/>
              <w:jc w:val="center"/>
            </w:pPr>
            <w:r w:rsidRPr="00AD151D">
              <w:t>646</w:t>
            </w:r>
          </w:p>
        </w:tc>
        <w:tc>
          <w:tcPr>
            <w:tcW w:w="1440" w:type="dxa"/>
            <w:tcBorders>
              <w:top w:val="single" w:sz="4" w:space="0" w:color="auto"/>
              <w:left w:val="nil"/>
              <w:bottom w:val="single" w:sz="4" w:space="0" w:color="auto"/>
              <w:right w:val="single" w:sz="4" w:space="0" w:color="auto"/>
            </w:tcBorders>
            <w:noWrap/>
            <w:vAlign w:val="bottom"/>
          </w:tcPr>
          <w:p w:rsidR="00AE7D50" w:rsidRPr="00AD151D" w:rsidRDefault="00AE7D50">
            <w:pPr>
              <w:keepNext/>
              <w:keepLines/>
              <w:jc w:val="center"/>
            </w:pPr>
            <w:r w:rsidRPr="00AD151D">
              <w:t>2,891</w:t>
            </w:r>
          </w:p>
        </w:tc>
        <w:tc>
          <w:tcPr>
            <w:tcW w:w="1440" w:type="dxa"/>
            <w:tcBorders>
              <w:top w:val="single" w:sz="4" w:space="0" w:color="auto"/>
              <w:left w:val="nil"/>
              <w:bottom w:val="single" w:sz="4" w:space="0" w:color="auto"/>
              <w:right w:val="single" w:sz="4" w:space="0" w:color="auto"/>
            </w:tcBorders>
            <w:noWrap/>
            <w:vAlign w:val="bottom"/>
          </w:tcPr>
          <w:p w:rsidR="00AE7D50" w:rsidRPr="00AD151D" w:rsidRDefault="00AE7D50">
            <w:pPr>
              <w:keepNext/>
              <w:keepLines/>
              <w:jc w:val="center"/>
            </w:pPr>
            <w:r w:rsidRPr="00AD151D">
              <w:t>33</w:t>
            </w:r>
          </w:p>
        </w:tc>
      </w:tr>
      <w:tr w:rsidR="00AE7D50" w:rsidRPr="00AD151D">
        <w:trPr>
          <w:trHeight w:val="255"/>
        </w:trPr>
        <w:tc>
          <w:tcPr>
            <w:tcW w:w="905" w:type="dxa"/>
            <w:tcBorders>
              <w:top w:val="single" w:sz="4" w:space="0" w:color="auto"/>
              <w:left w:val="single" w:sz="4" w:space="0" w:color="auto"/>
              <w:bottom w:val="single" w:sz="4" w:space="0" w:color="auto"/>
              <w:right w:val="single" w:sz="4" w:space="0" w:color="auto"/>
            </w:tcBorders>
            <w:noWrap/>
            <w:vAlign w:val="bottom"/>
          </w:tcPr>
          <w:p w:rsidR="00AE7D50" w:rsidRPr="00AD151D" w:rsidRDefault="00AE7D50">
            <w:pPr>
              <w:keepNext/>
              <w:keepLines/>
              <w:jc w:val="center"/>
            </w:pPr>
            <w:r w:rsidRPr="00AD151D">
              <w:t>2011</w:t>
            </w:r>
          </w:p>
        </w:tc>
        <w:tc>
          <w:tcPr>
            <w:tcW w:w="1260" w:type="dxa"/>
            <w:tcBorders>
              <w:top w:val="single" w:sz="4" w:space="0" w:color="auto"/>
              <w:left w:val="nil"/>
              <w:bottom w:val="single" w:sz="4" w:space="0" w:color="auto"/>
              <w:right w:val="single" w:sz="4" w:space="0" w:color="auto"/>
            </w:tcBorders>
            <w:noWrap/>
            <w:vAlign w:val="bottom"/>
          </w:tcPr>
          <w:p w:rsidR="00AE7D50" w:rsidRPr="00AD151D" w:rsidRDefault="00AE7D50">
            <w:pPr>
              <w:keepNext/>
              <w:keepLines/>
              <w:jc w:val="center"/>
            </w:pPr>
            <w:r w:rsidRPr="00AD151D">
              <w:t>51,895</w:t>
            </w:r>
          </w:p>
        </w:tc>
        <w:tc>
          <w:tcPr>
            <w:tcW w:w="1980" w:type="dxa"/>
            <w:tcBorders>
              <w:top w:val="single" w:sz="4" w:space="0" w:color="auto"/>
              <w:left w:val="nil"/>
              <w:bottom w:val="single" w:sz="4" w:space="0" w:color="auto"/>
              <w:right w:val="single" w:sz="4" w:space="0" w:color="auto"/>
            </w:tcBorders>
            <w:noWrap/>
            <w:vAlign w:val="bottom"/>
          </w:tcPr>
          <w:p w:rsidR="00AE7D50" w:rsidRPr="00AD151D" w:rsidRDefault="00AE7D50">
            <w:pPr>
              <w:keepNext/>
              <w:keepLines/>
              <w:jc w:val="center"/>
            </w:pPr>
            <w:r w:rsidRPr="00AD151D">
              <w:t>649</w:t>
            </w:r>
          </w:p>
        </w:tc>
        <w:tc>
          <w:tcPr>
            <w:tcW w:w="1440" w:type="dxa"/>
            <w:tcBorders>
              <w:top w:val="single" w:sz="4" w:space="0" w:color="auto"/>
              <w:left w:val="nil"/>
              <w:bottom w:val="single" w:sz="4" w:space="0" w:color="auto"/>
              <w:right w:val="single" w:sz="4" w:space="0" w:color="auto"/>
            </w:tcBorders>
            <w:noWrap/>
            <w:vAlign w:val="bottom"/>
          </w:tcPr>
          <w:p w:rsidR="00AE7D50" w:rsidRPr="00AD151D" w:rsidRDefault="00AE7D50">
            <w:pPr>
              <w:keepNext/>
              <w:keepLines/>
              <w:jc w:val="center"/>
            </w:pPr>
            <w:r w:rsidRPr="00AD151D">
              <w:t>105</w:t>
            </w:r>
          </w:p>
        </w:tc>
        <w:tc>
          <w:tcPr>
            <w:tcW w:w="1440" w:type="dxa"/>
            <w:tcBorders>
              <w:top w:val="single" w:sz="4" w:space="0" w:color="auto"/>
              <w:left w:val="nil"/>
              <w:bottom w:val="single" w:sz="4" w:space="0" w:color="auto"/>
              <w:right w:val="single" w:sz="4" w:space="0" w:color="auto"/>
            </w:tcBorders>
            <w:noWrap/>
            <w:vAlign w:val="bottom"/>
          </w:tcPr>
          <w:p w:rsidR="00AE7D50" w:rsidRPr="00AD151D" w:rsidRDefault="00AE7D50">
            <w:pPr>
              <w:keepNext/>
              <w:keepLines/>
              <w:jc w:val="center"/>
            </w:pPr>
            <w:r w:rsidRPr="00AD151D">
              <w:t>3</w:t>
            </w:r>
          </w:p>
        </w:tc>
      </w:tr>
    </w:tbl>
    <w:p w:rsidR="00AE7D50" w:rsidRPr="00AD151D" w:rsidRDefault="00AE7D50">
      <w:pPr>
        <w:keepNext/>
        <w:keepLines/>
        <w:rPr>
          <w:sz w:val="18"/>
          <w:szCs w:val="18"/>
        </w:rPr>
      </w:pPr>
      <w:r w:rsidRPr="00AD151D">
        <w:rPr>
          <w:sz w:val="18"/>
          <w:szCs w:val="18"/>
        </w:rPr>
        <w:t>Source: NQC lists from 2006 through 2011</w:t>
      </w:r>
    </w:p>
    <w:p w:rsidR="00AE7D50" w:rsidRPr="00277DC8" w:rsidRDefault="00AE7D50">
      <w:pPr>
        <w:pStyle w:val="Heading2"/>
        <w:numPr>
          <w:ilvl w:val="1"/>
          <w:numId w:val="18"/>
        </w:numPr>
        <w:spacing w:before="120"/>
        <w:rPr>
          <w:i w:val="0"/>
        </w:rPr>
      </w:pPr>
      <w:bookmarkStart w:id="90" w:name="_Toc223253257"/>
      <w:bookmarkStart w:id="91" w:name="_Toc223315669"/>
      <w:bookmarkStart w:id="92" w:name="_Toc224022443"/>
      <w:bookmarkStart w:id="93" w:name="_Toc347827054"/>
      <w:r w:rsidRPr="00277DC8">
        <w:rPr>
          <w:i w:val="0"/>
        </w:rPr>
        <w:t>Allocation of Import Capability for RA</w:t>
      </w:r>
      <w:bookmarkEnd w:id="90"/>
      <w:bookmarkEnd w:id="91"/>
      <w:bookmarkEnd w:id="92"/>
      <w:bookmarkEnd w:id="93"/>
    </w:p>
    <w:p w:rsidR="00AE7D50" w:rsidRPr="00AD151D" w:rsidRDefault="00AE7D50">
      <w:pPr>
        <w:widowControl w:val="0"/>
        <w:spacing w:before="120"/>
        <w:ind w:firstLine="720"/>
      </w:pPr>
      <w:r w:rsidRPr="00AD151D">
        <w:t>The CAISO allocates available import capacity to CPUC jurisdictional and non-CPUC jurisdictional LSEs annually to ensure that California is not relying on more imports than could be accommodated by the current transmission system.  The CPUC worked closely with the CAISO on the development of this process for use in the CPUC RA program.  The CAISO has a 13 step process in the CAISO tariff to perform this allocation.</w:t>
      </w:r>
      <w:r w:rsidRPr="00AD151D">
        <w:rPr>
          <w:rStyle w:val="FootnoteReference"/>
        </w:rPr>
        <w:footnoteReference w:id="28"/>
      </w:r>
      <w:r w:rsidRPr="00AD151D">
        <w:t xml:space="preserve">  The steps of the process are summarized in the CPUC RA Guide for 2011 and the results of selected steps are summarized in the table </w:t>
      </w:r>
      <w:r w:rsidR="00BB3463">
        <w:t>9</w:t>
      </w:r>
      <w:r w:rsidR="00820AE3" w:rsidRPr="00AD151D">
        <w:t xml:space="preserve"> </w:t>
      </w:r>
      <w:r w:rsidRPr="00AD151D">
        <w:t>below</w:t>
      </w:r>
      <w:r w:rsidR="00820AE3" w:rsidRPr="00AD151D">
        <w:t>.</w:t>
      </w:r>
    </w:p>
    <w:p w:rsidR="00AE7D50" w:rsidRPr="00AD151D" w:rsidRDefault="00AE7D50">
      <w:pPr>
        <w:pStyle w:val="Caption"/>
        <w:keepNext/>
        <w:keepLines/>
        <w:spacing w:before="120"/>
        <w:rPr>
          <w:sz w:val="22"/>
          <w:szCs w:val="22"/>
        </w:rPr>
      </w:pPr>
      <w:bookmarkStart w:id="94" w:name="_Toc347827079"/>
      <w:r w:rsidRPr="00AD151D">
        <w:lastRenderedPageBreak/>
        <w:t xml:space="preserve">Table </w:t>
      </w:r>
      <w:r w:rsidR="00B3535E">
        <w:fldChar w:fldCharType="begin"/>
      </w:r>
      <w:r w:rsidR="00B3535E">
        <w:instrText xml:space="preserve"> SEQ Table \* ARABIC </w:instrText>
      </w:r>
      <w:r w:rsidR="00B3535E">
        <w:fldChar w:fldCharType="separate"/>
      </w:r>
      <w:r w:rsidR="00B3535E">
        <w:rPr>
          <w:noProof/>
        </w:rPr>
        <w:t>9</w:t>
      </w:r>
      <w:r w:rsidR="00B3535E">
        <w:rPr>
          <w:noProof/>
        </w:rPr>
        <w:fldChar w:fldCharType="end"/>
      </w:r>
      <w:r w:rsidRPr="00AD151D">
        <w:t>.  2011 Import Allocations process (MW)</w:t>
      </w:r>
      <w:bookmarkEnd w:id="94"/>
    </w:p>
    <w:tbl>
      <w:tblPr>
        <w:tblW w:w="0" w:type="auto"/>
        <w:tblInd w:w="78" w:type="dxa"/>
        <w:tblLayout w:type="fixed"/>
        <w:tblLook w:val="0000" w:firstRow="0" w:lastRow="0" w:firstColumn="0" w:lastColumn="0" w:noHBand="0" w:noVBand="0"/>
      </w:tblPr>
      <w:tblGrid>
        <w:gridCol w:w="967"/>
        <w:gridCol w:w="6607"/>
        <w:gridCol w:w="838"/>
      </w:tblGrid>
      <w:tr w:rsidR="00AE7D50" w:rsidRPr="00AD151D">
        <w:trPr>
          <w:trHeight w:val="290"/>
        </w:trPr>
        <w:tc>
          <w:tcPr>
            <w:tcW w:w="967" w:type="dxa"/>
            <w:tcBorders>
              <w:top w:val="single" w:sz="6" w:space="0" w:color="auto"/>
              <w:left w:val="single" w:sz="6" w:space="0" w:color="auto"/>
              <w:bottom w:val="single" w:sz="6" w:space="0" w:color="auto"/>
              <w:right w:val="single" w:sz="6" w:space="0" w:color="auto"/>
            </w:tcBorders>
          </w:tcPr>
          <w:p w:rsidR="00AE7D50" w:rsidRPr="00AD151D" w:rsidRDefault="00AE7D50" w:rsidP="00A01172">
            <w:pPr>
              <w:keepNext/>
              <w:keepLines/>
              <w:autoSpaceDE w:val="0"/>
              <w:autoSpaceDN w:val="0"/>
              <w:adjustRightInd w:val="0"/>
              <w:spacing w:before="60" w:after="60"/>
              <w:jc w:val="center"/>
              <w:rPr>
                <w:rFonts w:ascii="Arial" w:hAnsi="Arial" w:cs="Arial"/>
                <w:b/>
                <w:bCs/>
                <w:color w:val="000000"/>
                <w:sz w:val="20"/>
                <w:szCs w:val="20"/>
              </w:rPr>
            </w:pPr>
            <w:r w:rsidRPr="00AD151D">
              <w:rPr>
                <w:rFonts w:ascii="Arial" w:hAnsi="Arial" w:cs="Arial"/>
                <w:b/>
                <w:bCs/>
                <w:color w:val="000000"/>
                <w:sz w:val="20"/>
                <w:szCs w:val="20"/>
              </w:rPr>
              <w:t>Step 1</w:t>
            </w:r>
          </w:p>
        </w:tc>
        <w:tc>
          <w:tcPr>
            <w:tcW w:w="6607" w:type="dxa"/>
            <w:tcBorders>
              <w:top w:val="single" w:sz="6" w:space="0" w:color="auto"/>
              <w:left w:val="single" w:sz="6" w:space="0" w:color="auto"/>
              <w:bottom w:val="single" w:sz="6" w:space="0" w:color="auto"/>
              <w:right w:val="single" w:sz="6" w:space="0" w:color="auto"/>
            </w:tcBorders>
          </w:tcPr>
          <w:p w:rsidR="00AE7D50" w:rsidRPr="00AD151D" w:rsidRDefault="00AE7D50" w:rsidP="00A01172">
            <w:pPr>
              <w:keepNext/>
              <w:keepLines/>
              <w:autoSpaceDE w:val="0"/>
              <w:autoSpaceDN w:val="0"/>
              <w:adjustRightInd w:val="0"/>
              <w:spacing w:before="60" w:after="60"/>
              <w:rPr>
                <w:rFonts w:ascii="Arial" w:hAnsi="Arial" w:cs="Arial"/>
                <w:b/>
                <w:bCs/>
                <w:color w:val="000000"/>
                <w:sz w:val="20"/>
                <w:szCs w:val="20"/>
              </w:rPr>
            </w:pPr>
            <w:r w:rsidRPr="00AD151D">
              <w:rPr>
                <w:rFonts w:ascii="Arial" w:hAnsi="Arial" w:cs="Arial"/>
                <w:b/>
                <w:bCs/>
                <w:color w:val="000000"/>
                <w:sz w:val="20"/>
                <w:szCs w:val="20"/>
              </w:rPr>
              <w:t>Maximum Imports</w:t>
            </w:r>
          </w:p>
        </w:tc>
        <w:tc>
          <w:tcPr>
            <w:tcW w:w="838" w:type="dxa"/>
            <w:tcBorders>
              <w:top w:val="single" w:sz="6" w:space="0" w:color="auto"/>
              <w:left w:val="single" w:sz="6" w:space="0" w:color="auto"/>
              <w:bottom w:val="single" w:sz="6" w:space="0" w:color="auto"/>
              <w:right w:val="single" w:sz="6" w:space="0" w:color="auto"/>
            </w:tcBorders>
          </w:tcPr>
          <w:p w:rsidR="00AE7D50" w:rsidRPr="00AD151D" w:rsidRDefault="00AE7D50" w:rsidP="00A01172">
            <w:pPr>
              <w:keepNext/>
              <w:keepLines/>
              <w:autoSpaceDE w:val="0"/>
              <w:autoSpaceDN w:val="0"/>
              <w:adjustRightInd w:val="0"/>
              <w:spacing w:before="60" w:after="60"/>
              <w:jc w:val="center"/>
              <w:rPr>
                <w:rFonts w:ascii="Arial" w:hAnsi="Arial" w:cs="Arial"/>
                <w:b/>
                <w:bCs/>
                <w:sz w:val="20"/>
                <w:szCs w:val="20"/>
              </w:rPr>
            </w:pPr>
            <w:r w:rsidRPr="00AD151D">
              <w:rPr>
                <w:rFonts w:ascii="Arial" w:hAnsi="Arial" w:cs="Arial"/>
                <w:b/>
                <w:bCs/>
                <w:sz w:val="20"/>
                <w:szCs w:val="20"/>
              </w:rPr>
              <w:t>16956</w:t>
            </w:r>
          </w:p>
        </w:tc>
      </w:tr>
      <w:tr w:rsidR="00AE7D50" w:rsidRPr="00AD151D">
        <w:trPr>
          <w:trHeight w:val="290"/>
        </w:trPr>
        <w:tc>
          <w:tcPr>
            <w:tcW w:w="967" w:type="dxa"/>
            <w:tcBorders>
              <w:top w:val="single" w:sz="6" w:space="0" w:color="auto"/>
              <w:left w:val="single" w:sz="6" w:space="0" w:color="auto"/>
              <w:bottom w:val="single" w:sz="6" w:space="0" w:color="auto"/>
              <w:right w:val="single" w:sz="6" w:space="0" w:color="auto"/>
            </w:tcBorders>
          </w:tcPr>
          <w:p w:rsidR="00AE7D50" w:rsidRPr="00AD151D" w:rsidRDefault="00AE7D50" w:rsidP="00A01172">
            <w:pPr>
              <w:keepNext/>
              <w:keepLines/>
              <w:autoSpaceDE w:val="0"/>
              <w:autoSpaceDN w:val="0"/>
              <w:adjustRightInd w:val="0"/>
              <w:spacing w:before="60" w:after="60"/>
              <w:jc w:val="center"/>
              <w:rPr>
                <w:rFonts w:ascii="Arial" w:hAnsi="Arial" w:cs="Arial"/>
                <w:b/>
                <w:bCs/>
                <w:color w:val="000000"/>
                <w:sz w:val="20"/>
                <w:szCs w:val="20"/>
              </w:rPr>
            </w:pPr>
            <w:r w:rsidRPr="00AD151D">
              <w:rPr>
                <w:rFonts w:ascii="Arial" w:hAnsi="Arial" w:cs="Arial"/>
                <w:b/>
                <w:bCs/>
                <w:color w:val="000000"/>
                <w:sz w:val="20"/>
                <w:szCs w:val="20"/>
              </w:rPr>
              <w:t>Step 2</w:t>
            </w:r>
          </w:p>
        </w:tc>
        <w:tc>
          <w:tcPr>
            <w:tcW w:w="6607" w:type="dxa"/>
            <w:tcBorders>
              <w:top w:val="single" w:sz="6" w:space="0" w:color="auto"/>
              <w:left w:val="single" w:sz="6" w:space="0" w:color="auto"/>
              <w:bottom w:val="single" w:sz="6" w:space="0" w:color="auto"/>
              <w:right w:val="single" w:sz="6" w:space="0" w:color="auto"/>
            </w:tcBorders>
          </w:tcPr>
          <w:p w:rsidR="00AE7D50" w:rsidRPr="00AD151D" w:rsidRDefault="00AE7D50" w:rsidP="00A01172">
            <w:pPr>
              <w:keepNext/>
              <w:keepLines/>
              <w:autoSpaceDE w:val="0"/>
              <w:autoSpaceDN w:val="0"/>
              <w:adjustRightInd w:val="0"/>
              <w:spacing w:before="60" w:after="60"/>
              <w:rPr>
                <w:rFonts w:ascii="Arial" w:hAnsi="Arial" w:cs="Arial"/>
                <w:b/>
                <w:bCs/>
                <w:color w:val="000000"/>
                <w:sz w:val="20"/>
                <w:szCs w:val="20"/>
              </w:rPr>
            </w:pPr>
            <w:r w:rsidRPr="00AD151D">
              <w:rPr>
                <w:rFonts w:ascii="Arial" w:hAnsi="Arial" w:cs="Arial"/>
                <w:b/>
                <w:bCs/>
                <w:color w:val="000000"/>
                <w:sz w:val="20"/>
                <w:szCs w:val="20"/>
              </w:rPr>
              <w:t>Available Import Capability (for loads in the control area)</w:t>
            </w:r>
          </w:p>
        </w:tc>
        <w:tc>
          <w:tcPr>
            <w:tcW w:w="838" w:type="dxa"/>
            <w:tcBorders>
              <w:top w:val="single" w:sz="6" w:space="0" w:color="auto"/>
              <w:left w:val="single" w:sz="6" w:space="0" w:color="auto"/>
              <w:bottom w:val="single" w:sz="6" w:space="0" w:color="auto"/>
              <w:right w:val="single" w:sz="6" w:space="0" w:color="auto"/>
            </w:tcBorders>
          </w:tcPr>
          <w:p w:rsidR="00AE7D50" w:rsidRPr="00AD151D" w:rsidRDefault="00AE7D50" w:rsidP="00A01172">
            <w:pPr>
              <w:keepNext/>
              <w:keepLines/>
              <w:autoSpaceDE w:val="0"/>
              <w:autoSpaceDN w:val="0"/>
              <w:adjustRightInd w:val="0"/>
              <w:spacing w:before="60" w:after="60"/>
              <w:jc w:val="center"/>
              <w:rPr>
                <w:rFonts w:ascii="Arial" w:hAnsi="Arial" w:cs="Arial"/>
                <w:b/>
                <w:bCs/>
                <w:sz w:val="20"/>
                <w:szCs w:val="20"/>
              </w:rPr>
            </w:pPr>
            <w:r w:rsidRPr="00AD151D">
              <w:rPr>
                <w:rFonts w:ascii="Arial" w:hAnsi="Arial" w:cs="Arial"/>
                <w:b/>
                <w:bCs/>
                <w:sz w:val="20"/>
                <w:szCs w:val="20"/>
              </w:rPr>
              <w:t>13573</w:t>
            </w:r>
          </w:p>
        </w:tc>
      </w:tr>
      <w:tr w:rsidR="00AE7D50" w:rsidRPr="00AD151D">
        <w:trPr>
          <w:trHeight w:val="290"/>
        </w:trPr>
        <w:tc>
          <w:tcPr>
            <w:tcW w:w="967" w:type="dxa"/>
            <w:tcBorders>
              <w:top w:val="single" w:sz="6" w:space="0" w:color="auto"/>
              <w:left w:val="single" w:sz="6" w:space="0" w:color="auto"/>
              <w:bottom w:val="single" w:sz="6" w:space="0" w:color="auto"/>
              <w:right w:val="single" w:sz="6" w:space="0" w:color="auto"/>
            </w:tcBorders>
          </w:tcPr>
          <w:p w:rsidR="00AE7D50" w:rsidRPr="00AD151D" w:rsidRDefault="00AE7D50" w:rsidP="00A01172">
            <w:pPr>
              <w:keepNext/>
              <w:keepLines/>
              <w:autoSpaceDE w:val="0"/>
              <w:autoSpaceDN w:val="0"/>
              <w:adjustRightInd w:val="0"/>
              <w:spacing w:before="60" w:after="60"/>
              <w:jc w:val="center"/>
              <w:rPr>
                <w:rFonts w:ascii="Calibri" w:hAnsi="Calibri" w:cs="Calibri"/>
                <w:b/>
                <w:color w:val="000000"/>
              </w:rPr>
            </w:pPr>
            <w:r w:rsidRPr="00AD151D">
              <w:rPr>
                <w:rFonts w:ascii="Calibri" w:hAnsi="Calibri" w:cs="Calibri"/>
                <w:b/>
                <w:color w:val="000000"/>
                <w:sz w:val="22"/>
                <w:szCs w:val="22"/>
              </w:rPr>
              <w:t>Step 4a</w:t>
            </w:r>
          </w:p>
        </w:tc>
        <w:tc>
          <w:tcPr>
            <w:tcW w:w="6607" w:type="dxa"/>
            <w:tcBorders>
              <w:top w:val="single" w:sz="6" w:space="0" w:color="auto"/>
              <w:left w:val="single" w:sz="6" w:space="0" w:color="auto"/>
              <w:bottom w:val="single" w:sz="6" w:space="0" w:color="auto"/>
              <w:right w:val="single" w:sz="6" w:space="0" w:color="auto"/>
            </w:tcBorders>
          </w:tcPr>
          <w:p w:rsidR="00AE7D50" w:rsidRPr="00AD151D" w:rsidRDefault="00AE7D50" w:rsidP="00A01172">
            <w:pPr>
              <w:keepNext/>
              <w:keepLines/>
              <w:autoSpaceDE w:val="0"/>
              <w:autoSpaceDN w:val="0"/>
              <w:adjustRightInd w:val="0"/>
              <w:spacing w:before="60" w:after="60"/>
              <w:rPr>
                <w:rFonts w:ascii="Arial" w:hAnsi="Arial" w:cs="Arial"/>
                <w:b/>
                <w:bCs/>
                <w:color w:val="000000"/>
                <w:sz w:val="20"/>
                <w:szCs w:val="20"/>
              </w:rPr>
            </w:pPr>
            <w:r w:rsidRPr="00AD151D">
              <w:rPr>
                <w:rFonts w:ascii="Arial" w:hAnsi="Arial" w:cs="Arial"/>
                <w:b/>
                <w:bCs/>
                <w:color w:val="000000"/>
                <w:sz w:val="20"/>
                <w:szCs w:val="20"/>
              </w:rPr>
              <w:t>Total Pre-RA Import Commitments</w:t>
            </w:r>
          </w:p>
        </w:tc>
        <w:tc>
          <w:tcPr>
            <w:tcW w:w="838" w:type="dxa"/>
            <w:tcBorders>
              <w:top w:val="single" w:sz="6" w:space="0" w:color="auto"/>
              <w:left w:val="single" w:sz="6" w:space="0" w:color="auto"/>
              <w:bottom w:val="single" w:sz="6" w:space="0" w:color="auto"/>
              <w:right w:val="single" w:sz="6" w:space="0" w:color="auto"/>
            </w:tcBorders>
          </w:tcPr>
          <w:p w:rsidR="00AE7D50" w:rsidRPr="00AD151D" w:rsidRDefault="00AE7D50" w:rsidP="00A01172">
            <w:pPr>
              <w:keepNext/>
              <w:keepLines/>
              <w:autoSpaceDE w:val="0"/>
              <w:autoSpaceDN w:val="0"/>
              <w:adjustRightInd w:val="0"/>
              <w:spacing w:before="60" w:after="60"/>
              <w:jc w:val="center"/>
              <w:rPr>
                <w:rFonts w:ascii="Arial" w:hAnsi="Arial" w:cs="Arial"/>
                <w:b/>
                <w:bCs/>
                <w:sz w:val="20"/>
                <w:szCs w:val="20"/>
              </w:rPr>
            </w:pPr>
            <w:r w:rsidRPr="00AD151D">
              <w:rPr>
                <w:rFonts w:ascii="Arial" w:hAnsi="Arial" w:cs="Arial"/>
                <w:b/>
                <w:bCs/>
                <w:sz w:val="20"/>
                <w:szCs w:val="20"/>
              </w:rPr>
              <w:t>7311</w:t>
            </w:r>
          </w:p>
        </w:tc>
      </w:tr>
      <w:tr w:rsidR="00AE7D50" w:rsidRPr="00AD151D">
        <w:trPr>
          <w:trHeight w:val="290"/>
        </w:trPr>
        <w:tc>
          <w:tcPr>
            <w:tcW w:w="967" w:type="dxa"/>
            <w:tcBorders>
              <w:top w:val="single" w:sz="6" w:space="0" w:color="auto"/>
              <w:left w:val="single" w:sz="6" w:space="0" w:color="auto"/>
              <w:bottom w:val="single" w:sz="6" w:space="0" w:color="auto"/>
              <w:right w:val="single" w:sz="6" w:space="0" w:color="auto"/>
            </w:tcBorders>
          </w:tcPr>
          <w:p w:rsidR="00AE7D50" w:rsidRPr="00AD151D" w:rsidRDefault="00AE7D50" w:rsidP="00A01172">
            <w:pPr>
              <w:keepNext/>
              <w:keepLines/>
              <w:autoSpaceDE w:val="0"/>
              <w:autoSpaceDN w:val="0"/>
              <w:adjustRightInd w:val="0"/>
              <w:spacing w:before="60" w:after="60"/>
              <w:jc w:val="center"/>
              <w:rPr>
                <w:rFonts w:ascii="Arial" w:hAnsi="Arial" w:cs="Arial"/>
                <w:b/>
                <w:bCs/>
                <w:color w:val="000000"/>
                <w:sz w:val="20"/>
                <w:szCs w:val="20"/>
              </w:rPr>
            </w:pPr>
            <w:r w:rsidRPr="00AD151D">
              <w:rPr>
                <w:rFonts w:ascii="Arial" w:hAnsi="Arial" w:cs="Arial"/>
                <w:b/>
                <w:bCs/>
                <w:color w:val="000000"/>
                <w:sz w:val="20"/>
                <w:szCs w:val="20"/>
              </w:rPr>
              <w:t>Step 4</w:t>
            </w:r>
          </w:p>
        </w:tc>
        <w:tc>
          <w:tcPr>
            <w:tcW w:w="6607" w:type="dxa"/>
            <w:tcBorders>
              <w:top w:val="single" w:sz="6" w:space="0" w:color="auto"/>
              <w:left w:val="single" w:sz="6" w:space="0" w:color="auto"/>
              <w:bottom w:val="single" w:sz="6" w:space="0" w:color="auto"/>
              <w:right w:val="single" w:sz="6" w:space="0" w:color="auto"/>
            </w:tcBorders>
          </w:tcPr>
          <w:p w:rsidR="00AE7D50" w:rsidRPr="00AD151D" w:rsidRDefault="00AE7D50" w:rsidP="00A01172">
            <w:pPr>
              <w:keepNext/>
              <w:keepLines/>
              <w:autoSpaceDE w:val="0"/>
              <w:autoSpaceDN w:val="0"/>
              <w:adjustRightInd w:val="0"/>
              <w:spacing w:before="60" w:after="60"/>
              <w:rPr>
                <w:rFonts w:ascii="Arial" w:hAnsi="Arial" w:cs="Arial"/>
                <w:b/>
                <w:bCs/>
                <w:color w:val="000000"/>
                <w:sz w:val="20"/>
                <w:szCs w:val="20"/>
                <w:lang w:val="fr-FR"/>
              </w:rPr>
            </w:pPr>
            <w:r w:rsidRPr="00AD151D">
              <w:rPr>
                <w:rFonts w:ascii="Arial" w:hAnsi="Arial" w:cs="Arial"/>
                <w:b/>
                <w:bCs/>
                <w:color w:val="000000"/>
                <w:sz w:val="20"/>
                <w:szCs w:val="20"/>
                <w:lang w:val="fr-FR"/>
              </w:rPr>
              <w:t>Total Pre-RA Import Commitments &amp; ETC</w:t>
            </w:r>
          </w:p>
        </w:tc>
        <w:tc>
          <w:tcPr>
            <w:tcW w:w="838" w:type="dxa"/>
            <w:tcBorders>
              <w:top w:val="single" w:sz="6" w:space="0" w:color="auto"/>
              <w:left w:val="single" w:sz="6" w:space="0" w:color="auto"/>
              <w:bottom w:val="single" w:sz="6" w:space="0" w:color="auto"/>
              <w:right w:val="single" w:sz="6" w:space="0" w:color="auto"/>
            </w:tcBorders>
          </w:tcPr>
          <w:p w:rsidR="00AE7D50" w:rsidRPr="00AD151D" w:rsidRDefault="00AE7D50" w:rsidP="00A01172">
            <w:pPr>
              <w:keepNext/>
              <w:keepLines/>
              <w:autoSpaceDE w:val="0"/>
              <w:autoSpaceDN w:val="0"/>
              <w:adjustRightInd w:val="0"/>
              <w:spacing w:before="60" w:after="60"/>
              <w:jc w:val="center"/>
              <w:rPr>
                <w:rFonts w:ascii="Arial" w:hAnsi="Arial" w:cs="Arial"/>
                <w:b/>
                <w:bCs/>
                <w:sz w:val="20"/>
                <w:szCs w:val="20"/>
              </w:rPr>
            </w:pPr>
            <w:r w:rsidRPr="00AD151D">
              <w:rPr>
                <w:rFonts w:ascii="Arial" w:hAnsi="Arial" w:cs="Arial"/>
                <w:b/>
                <w:bCs/>
                <w:sz w:val="20"/>
                <w:szCs w:val="20"/>
              </w:rPr>
              <w:t>8891</w:t>
            </w:r>
          </w:p>
        </w:tc>
      </w:tr>
      <w:tr w:rsidR="00AE7D50" w:rsidRPr="00AD151D">
        <w:trPr>
          <w:trHeight w:val="290"/>
        </w:trPr>
        <w:tc>
          <w:tcPr>
            <w:tcW w:w="967" w:type="dxa"/>
            <w:tcBorders>
              <w:top w:val="single" w:sz="6" w:space="0" w:color="auto"/>
              <w:left w:val="single" w:sz="6" w:space="0" w:color="auto"/>
              <w:bottom w:val="single" w:sz="6" w:space="0" w:color="auto"/>
              <w:right w:val="single" w:sz="6" w:space="0" w:color="auto"/>
            </w:tcBorders>
          </w:tcPr>
          <w:p w:rsidR="00AE7D50" w:rsidRPr="00AD151D" w:rsidRDefault="00AE7D50" w:rsidP="00A01172">
            <w:pPr>
              <w:keepNext/>
              <w:keepLines/>
              <w:autoSpaceDE w:val="0"/>
              <w:autoSpaceDN w:val="0"/>
              <w:adjustRightInd w:val="0"/>
              <w:spacing w:before="60" w:after="60"/>
              <w:jc w:val="center"/>
              <w:rPr>
                <w:rFonts w:ascii="Arial" w:hAnsi="Arial" w:cs="Arial"/>
                <w:b/>
                <w:bCs/>
                <w:color w:val="000000"/>
                <w:sz w:val="20"/>
                <w:szCs w:val="20"/>
              </w:rPr>
            </w:pPr>
          </w:p>
        </w:tc>
        <w:tc>
          <w:tcPr>
            <w:tcW w:w="6607" w:type="dxa"/>
            <w:tcBorders>
              <w:top w:val="single" w:sz="6" w:space="0" w:color="auto"/>
              <w:left w:val="single" w:sz="6" w:space="0" w:color="auto"/>
              <w:bottom w:val="single" w:sz="6" w:space="0" w:color="auto"/>
              <w:right w:val="single" w:sz="6" w:space="0" w:color="auto"/>
            </w:tcBorders>
          </w:tcPr>
          <w:p w:rsidR="00AE7D50" w:rsidRPr="00AD151D" w:rsidRDefault="00AE7D50" w:rsidP="00A01172">
            <w:pPr>
              <w:keepNext/>
              <w:keepLines/>
              <w:autoSpaceDE w:val="0"/>
              <w:autoSpaceDN w:val="0"/>
              <w:adjustRightInd w:val="0"/>
              <w:spacing w:before="60" w:after="60"/>
              <w:rPr>
                <w:rFonts w:ascii="Arial" w:hAnsi="Arial" w:cs="Arial"/>
                <w:b/>
                <w:bCs/>
                <w:color w:val="000000"/>
                <w:sz w:val="20"/>
                <w:szCs w:val="20"/>
              </w:rPr>
            </w:pPr>
            <w:r w:rsidRPr="00AD151D">
              <w:rPr>
                <w:rFonts w:ascii="Arial" w:hAnsi="Arial" w:cs="Arial"/>
                <w:b/>
                <w:bCs/>
                <w:color w:val="000000"/>
                <w:sz w:val="20"/>
                <w:szCs w:val="20"/>
              </w:rPr>
              <w:t>Remaining Import Capability after Step 4</w:t>
            </w:r>
          </w:p>
        </w:tc>
        <w:tc>
          <w:tcPr>
            <w:tcW w:w="838" w:type="dxa"/>
            <w:tcBorders>
              <w:top w:val="single" w:sz="6" w:space="0" w:color="auto"/>
              <w:left w:val="single" w:sz="6" w:space="0" w:color="auto"/>
              <w:bottom w:val="single" w:sz="6" w:space="0" w:color="auto"/>
              <w:right w:val="single" w:sz="6" w:space="0" w:color="auto"/>
            </w:tcBorders>
          </w:tcPr>
          <w:p w:rsidR="00AE7D50" w:rsidRPr="00AD151D" w:rsidRDefault="00AE7D50" w:rsidP="00A01172">
            <w:pPr>
              <w:keepNext/>
              <w:keepLines/>
              <w:autoSpaceDE w:val="0"/>
              <w:autoSpaceDN w:val="0"/>
              <w:adjustRightInd w:val="0"/>
              <w:spacing w:before="60" w:after="60"/>
              <w:jc w:val="center"/>
              <w:rPr>
                <w:rFonts w:ascii="Arial" w:hAnsi="Arial" w:cs="Arial"/>
                <w:b/>
                <w:bCs/>
                <w:sz w:val="20"/>
                <w:szCs w:val="20"/>
              </w:rPr>
            </w:pPr>
            <w:r w:rsidRPr="00AD151D">
              <w:rPr>
                <w:rFonts w:ascii="Arial" w:hAnsi="Arial" w:cs="Arial"/>
                <w:b/>
                <w:bCs/>
                <w:sz w:val="20"/>
                <w:szCs w:val="20"/>
              </w:rPr>
              <w:t>4682</w:t>
            </w:r>
          </w:p>
        </w:tc>
      </w:tr>
      <w:tr w:rsidR="00AE7D50" w:rsidRPr="00AD151D">
        <w:trPr>
          <w:trHeight w:val="290"/>
        </w:trPr>
        <w:tc>
          <w:tcPr>
            <w:tcW w:w="967" w:type="dxa"/>
            <w:tcBorders>
              <w:top w:val="single" w:sz="6" w:space="0" w:color="auto"/>
              <w:left w:val="single" w:sz="6" w:space="0" w:color="auto"/>
              <w:bottom w:val="single" w:sz="6" w:space="0" w:color="auto"/>
              <w:right w:val="single" w:sz="6" w:space="0" w:color="auto"/>
            </w:tcBorders>
          </w:tcPr>
          <w:p w:rsidR="00AE7D50" w:rsidRPr="00AD151D" w:rsidRDefault="00AE7D50" w:rsidP="00A01172">
            <w:pPr>
              <w:keepNext/>
              <w:keepLines/>
              <w:autoSpaceDE w:val="0"/>
              <w:autoSpaceDN w:val="0"/>
              <w:adjustRightInd w:val="0"/>
              <w:spacing w:before="60" w:after="60"/>
              <w:jc w:val="center"/>
              <w:rPr>
                <w:rFonts w:ascii="Arial" w:hAnsi="Arial" w:cs="Arial"/>
                <w:b/>
                <w:bCs/>
                <w:color w:val="000000"/>
                <w:sz w:val="20"/>
                <w:szCs w:val="20"/>
              </w:rPr>
            </w:pPr>
            <w:r w:rsidRPr="00AD151D">
              <w:rPr>
                <w:rFonts w:ascii="Arial" w:hAnsi="Arial" w:cs="Arial"/>
                <w:b/>
                <w:bCs/>
                <w:color w:val="000000"/>
                <w:sz w:val="20"/>
                <w:szCs w:val="20"/>
              </w:rPr>
              <w:t>Step 9</w:t>
            </w:r>
          </w:p>
        </w:tc>
        <w:tc>
          <w:tcPr>
            <w:tcW w:w="6607" w:type="dxa"/>
            <w:tcBorders>
              <w:top w:val="single" w:sz="6" w:space="0" w:color="auto"/>
              <w:left w:val="single" w:sz="6" w:space="0" w:color="auto"/>
              <w:bottom w:val="single" w:sz="6" w:space="0" w:color="auto"/>
              <w:right w:val="single" w:sz="6" w:space="0" w:color="auto"/>
            </w:tcBorders>
          </w:tcPr>
          <w:p w:rsidR="00AE7D50" w:rsidRPr="00AD151D" w:rsidRDefault="00AE7D50" w:rsidP="00A01172">
            <w:pPr>
              <w:keepNext/>
              <w:keepLines/>
              <w:autoSpaceDE w:val="0"/>
              <w:autoSpaceDN w:val="0"/>
              <w:adjustRightInd w:val="0"/>
              <w:spacing w:before="60" w:after="60"/>
              <w:rPr>
                <w:rFonts w:ascii="Arial" w:hAnsi="Arial" w:cs="Arial"/>
                <w:b/>
                <w:bCs/>
                <w:color w:val="000000"/>
                <w:sz w:val="20"/>
                <w:szCs w:val="20"/>
              </w:rPr>
            </w:pPr>
            <w:r w:rsidRPr="00AD151D">
              <w:rPr>
                <w:rFonts w:ascii="Arial" w:hAnsi="Arial" w:cs="Arial"/>
                <w:b/>
                <w:bCs/>
                <w:color w:val="000000"/>
                <w:sz w:val="20"/>
                <w:szCs w:val="20"/>
              </w:rPr>
              <w:t>Assigned Remaining Import Capability during Step 9</w:t>
            </w:r>
          </w:p>
        </w:tc>
        <w:tc>
          <w:tcPr>
            <w:tcW w:w="838" w:type="dxa"/>
            <w:tcBorders>
              <w:top w:val="single" w:sz="6" w:space="0" w:color="auto"/>
              <w:left w:val="single" w:sz="6" w:space="0" w:color="auto"/>
              <w:bottom w:val="single" w:sz="6" w:space="0" w:color="auto"/>
              <w:right w:val="single" w:sz="6" w:space="0" w:color="auto"/>
            </w:tcBorders>
          </w:tcPr>
          <w:p w:rsidR="00AE7D50" w:rsidRPr="00AD151D" w:rsidRDefault="00AE7D50" w:rsidP="00A01172">
            <w:pPr>
              <w:keepNext/>
              <w:keepLines/>
              <w:autoSpaceDE w:val="0"/>
              <w:autoSpaceDN w:val="0"/>
              <w:adjustRightInd w:val="0"/>
              <w:spacing w:before="60" w:after="60"/>
              <w:jc w:val="center"/>
              <w:rPr>
                <w:rFonts w:ascii="Arial" w:hAnsi="Arial" w:cs="Arial"/>
                <w:b/>
                <w:bCs/>
                <w:sz w:val="20"/>
                <w:szCs w:val="20"/>
              </w:rPr>
            </w:pPr>
            <w:r w:rsidRPr="00AD151D">
              <w:rPr>
                <w:rFonts w:ascii="Arial" w:hAnsi="Arial" w:cs="Arial"/>
                <w:b/>
                <w:bCs/>
                <w:sz w:val="20"/>
                <w:szCs w:val="20"/>
              </w:rPr>
              <w:t>3304</w:t>
            </w:r>
          </w:p>
        </w:tc>
      </w:tr>
      <w:tr w:rsidR="00AE7D50" w:rsidRPr="00AD151D">
        <w:trPr>
          <w:trHeight w:val="290"/>
        </w:trPr>
        <w:tc>
          <w:tcPr>
            <w:tcW w:w="967" w:type="dxa"/>
            <w:tcBorders>
              <w:top w:val="single" w:sz="6" w:space="0" w:color="auto"/>
              <w:left w:val="single" w:sz="6" w:space="0" w:color="auto"/>
              <w:bottom w:val="single" w:sz="6" w:space="0" w:color="auto"/>
              <w:right w:val="single" w:sz="6" w:space="0" w:color="auto"/>
            </w:tcBorders>
          </w:tcPr>
          <w:p w:rsidR="00AE7D50" w:rsidRPr="00AD151D" w:rsidRDefault="00AE7D50" w:rsidP="00A01172">
            <w:pPr>
              <w:keepNext/>
              <w:keepLines/>
              <w:autoSpaceDE w:val="0"/>
              <w:autoSpaceDN w:val="0"/>
              <w:adjustRightInd w:val="0"/>
              <w:spacing w:before="60" w:after="60"/>
              <w:jc w:val="center"/>
              <w:rPr>
                <w:rFonts w:ascii="Arial" w:hAnsi="Arial" w:cs="Arial"/>
                <w:b/>
                <w:bCs/>
                <w:color w:val="000000"/>
                <w:sz w:val="20"/>
                <w:szCs w:val="20"/>
              </w:rPr>
            </w:pPr>
            <w:r w:rsidRPr="00AD151D">
              <w:rPr>
                <w:rFonts w:ascii="Arial" w:hAnsi="Arial" w:cs="Arial"/>
                <w:b/>
                <w:bCs/>
                <w:color w:val="000000"/>
                <w:sz w:val="20"/>
                <w:szCs w:val="20"/>
              </w:rPr>
              <w:t>Step 10</w:t>
            </w:r>
          </w:p>
        </w:tc>
        <w:tc>
          <w:tcPr>
            <w:tcW w:w="6607" w:type="dxa"/>
            <w:tcBorders>
              <w:top w:val="single" w:sz="6" w:space="0" w:color="auto"/>
              <w:left w:val="single" w:sz="6" w:space="0" w:color="auto"/>
              <w:bottom w:val="single" w:sz="6" w:space="0" w:color="auto"/>
              <w:right w:val="single" w:sz="6" w:space="0" w:color="auto"/>
            </w:tcBorders>
          </w:tcPr>
          <w:p w:rsidR="00AE7D50" w:rsidRPr="00AD151D" w:rsidRDefault="00AE7D50" w:rsidP="00A01172">
            <w:pPr>
              <w:keepNext/>
              <w:keepLines/>
              <w:autoSpaceDE w:val="0"/>
              <w:autoSpaceDN w:val="0"/>
              <w:adjustRightInd w:val="0"/>
              <w:spacing w:before="60" w:after="60"/>
              <w:rPr>
                <w:rFonts w:ascii="Arial" w:hAnsi="Arial" w:cs="Arial"/>
                <w:b/>
                <w:bCs/>
                <w:color w:val="000000"/>
                <w:sz w:val="20"/>
                <w:szCs w:val="20"/>
              </w:rPr>
            </w:pPr>
            <w:r w:rsidRPr="00AD151D">
              <w:rPr>
                <w:rFonts w:ascii="Arial" w:hAnsi="Arial" w:cs="Arial"/>
                <w:b/>
                <w:bCs/>
                <w:color w:val="000000"/>
                <w:sz w:val="20"/>
                <w:szCs w:val="20"/>
              </w:rPr>
              <w:t>Available Import Capability after Step 9</w:t>
            </w:r>
          </w:p>
        </w:tc>
        <w:tc>
          <w:tcPr>
            <w:tcW w:w="838" w:type="dxa"/>
            <w:tcBorders>
              <w:top w:val="single" w:sz="6" w:space="0" w:color="auto"/>
              <w:left w:val="single" w:sz="6" w:space="0" w:color="auto"/>
              <w:bottom w:val="single" w:sz="6" w:space="0" w:color="auto"/>
              <w:right w:val="single" w:sz="6" w:space="0" w:color="auto"/>
            </w:tcBorders>
          </w:tcPr>
          <w:p w:rsidR="00AE7D50" w:rsidRPr="00AD151D" w:rsidRDefault="00AE7D50" w:rsidP="00A01172">
            <w:pPr>
              <w:keepNext/>
              <w:keepLines/>
              <w:autoSpaceDE w:val="0"/>
              <w:autoSpaceDN w:val="0"/>
              <w:adjustRightInd w:val="0"/>
              <w:spacing w:before="60" w:after="60"/>
              <w:jc w:val="center"/>
              <w:rPr>
                <w:rFonts w:ascii="Arial" w:hAnsi="Arial" w:cs="Arial"/>
                <w:b/>
                <w:bCs/>
                <w:sz w:val="20"/>
                <w:szCs w:val="20"/>
              </w:rPr>
            </w:pPr>
            <w:r w:rsidRPr="00AD151D">
              <w:rPr>
                <w:rFonts w:ascii="Arial" w:hAnsi="Arial" w:cs="Arial"/>
                <w:b/>
                <w:bCs/>
                <w:sz w:val="20"/>
                <w:szCs w:val="20"/>
              </w:rPr>
              <w:t>1378</w:t>
            </w:r>
          </w:p>
        </w:tc>
      </w:tr>
      <w:tr w:rsidR="00AE7D50" w:rsidRPr="00AD151D">
        <w:trPr>
          <w:trHeight w:val="290"/>
        </w:trPr>
        <w:tc>
          <w:tcPr>
            <w:tcW w:w="967" w:type="dxa"/>
            <w:tcBorders>
              <w:top w:val="single" w:sz="6" w:space="0" w:color="auto"/>
              <w:left w:val="single" w:sz="6" w:space="0" w:color="auto"/>
              <w:bottom w:val="single" w:sz="6" w:space="0" w:color="auto"/>
              <w:right w:val="single" w:sz="6" w:space="0" w:color="auto"/>
            </w:tcBorders>
          </w:tcPr>
          <w:p w:rsidR="00AE7D50" w:rsidRPr="00AD151D" w:rsidRDefault="00AE7D50" w:rsidP="00A01172">
            <w:pPr>
              <w:keepNext/>
              <w:keepLines/>
              <w:autoSpaceDE w:val="0"/>
              <w:autoSpaceDN w:val="0"/>
              <w:adjustRightInd w:val="0"/>
              <w:spacing w:before="60" w:after="60"/>
              <w:jc w:val="center"/>
              <w:rPr>
                <w:rFonts w:ascii="Arial" w:hAnsi="Arial" w:cs="Arial"/>
                <w:b/>
                <w:bCs/>
                <w:color w:val="000000"/>
                <w:sz w:val="20"/>
                <w:szCs w:val="20"/>
              </w:rPr>
            </w:pPr>
            <w:r w:rsidRPr="00AD151D">
              <w:rPr>
                <w:rFonts w:ascii="Arial" w:hAnsi="Arial" w:cs="Arial"/>
                <w:b/>
                <w:bCs/>
                <w:color w:val="000000"/>
                <w:sz w:val="20"/>
                <w:szCs w:val="20"/>
              </w:rPr>
              <w:t>Step 11</w:t>
            </w:r>
          </w:p>
        </w:tc>
        <w:tc>
          <w:tcPr>
            <w:tcW w:w="6607" w:type="dxa"/>
            <w:tcBorders>
              <w:top w:val="single" w:sz="6" w:space="0" w:color="auto"/>
              <w:left w:val="single" w:sz="6" w:space="0" w:color="auto"/>
              <w:bottom w:val="single" w:sz="6" w:space="0" w:color="auto"/>
              <w:right w:val="single" w:sz="6" w:space="0" w:color="auto"/>
            </w:tcBorders>
          </w:tcPr>
          <w:p w:rsidR="00AE7D50" w:rsidRPr="00AD151D" w:rsidRDefault="00AE7D50" w:rsidP="00A01172">
            <w:pPr>
              <w:keepNext/>
              <w:keepLines/>
              <w:autoSpaceDE w:val="0"/>
              <w:autoSpaceDN w:val="0"/>
              <w:adjustRightInd w:val="0"/>
              <w:spacing w:before="60" w:after="60"/>
              <w:rPr>
                <w:rFonts w:ascii="Arial" w:hAnsi="Arial" w:cs="Arial"/>
                <w:b/>
                <w:bCs/>
                <w:color w:val="000000"/>
                <w:sz w:val="20"/>
                <w:szCs w:val="20"/>
              </w:rPr>
            </w:pPr>
            <w:r w:rsidRPr="00AD151D">
              <w:rPr>
                <w:rFonts w:ascii="Arial" w:hAnsi="Arial" w:cs="Arial"/>
                <w:b/>
                <w:bCs/>
                <w:color w:val="000000"/>
                <w:sz w:val="20"/>
                <w:szCs w:val="20"/>
              </w:rPr>
              <w:t>Assigned Remaining Import Capability during Step 11</w:t>
            </w:r>
          </w:p>
        </w:tc>
        <w:tc>
          <w:tcPr>
            <w:tcW w:w="838" w:type="dxa"/>
            <w:tcBorders>
              <w:top w:val="single" w:sz="6" w:space="0" w:color="auto"/>
              <w:left w:val="single" w:sz="6" w:space="0" w:color="auto"/>
              <w:bottom w:val="single" w:sz="6" w:space="0" w:color="auto"/>
              <w:right w:val="single" w:sz="6" w:space="0" w:color="auto"/>
            </w:tcBorders>
          </w:tcPr>
          <w:p w:rsidR="00AE7D50" w:rsidRPr="00AD151D" w:rsidRDefault="00AE7D50" w:rsidP="00A01172">
            <w:pPr>
              <w:keepNext/>
              <w:keepLines/>
              <w:autoSpaceDE w:val="0"/>
              <w:autoSpaceDN w:val="0"/>
              <w:adjustRightInd w:val="0"/>
              <w:spacing w:before="60" w:after="60"/>
              <w:jc w:val="center"/>
              <w:rPr>
                <w:rFonts w:ascii="Arial" w:hAnsi="Arial" w:cs="Arial"/>
                <w:b/>
                <w:bCs/>
                <w:sz w:val="20"/>
                <w:szCs w:val="20"/>
              </w:rPr>
            </w:pPr>
            <w:r w:rsidRPr="00AD151D">
              <w:rPr>
                <w:rFonts w:ascii="Arial" w:hAnsi="Arial" w:cs="Arial"/>
                <w:b/>
                <w:bCs/>
                <w:sz w:val="20"/>
                <w:szCs w:val="20"/>
              </w:rPr>
              <w:t>1052</w:t>
            </w:r>
          </w:p>
        </w:tc>
      </w:tr>
      <w:tr w:rsidR="00AE7D50" w:rsidRPr="00AD151D">
        <w:trPr>
          <w:trHeight w:val="290"/>
        </w:trPr>
        <w:tc>
          <w:tcPr>
            <w:tcW w:w="967" w:type="dxa"/>
            <w:tcBorders>
              <w:top w:val="single" w:sz="6" w:space="0" w:color="auto"/>
              <w:left w:val="single" w:sz="6" w:space="0" w:color="auto"/>
              <w:bottom w:val="single" w:sz="6" w:space="0" w:color="auto"/>
              <w:right w:val="single" w:sz="6" w:space="0" w:color="auto"/>
            </w:tcBorders>
          </w:tcPr>
          <w:p w:rsidR="00AE7D50" w:rsidRPr="00AD151D" w:rsidRDefault="00AE7D50" w:rsidP="00A01172">
            <w:pPr>
              <w:keepNext/>
              <w:keepLines/>
              <w:autoSpaceDE w:val="0"/>
              <w:autoSpaceDN w:val="0"/>
              <w:adjustRightInd w:val="0"/>
              <w:spacing w:before="60" w:after="60"/>
              <w:jc w:val="center"/>
              <w:rPr>
                <w:rFonts w:ascii="Arial" w:hAnsi="Arial" w:cs="Arial"/>
                <w:b/>
                <w:bCs/>
                <w:color w:val="000000"/>
                <w:sz w:val="20"/>
                <w:szCs w:val="20"/>
              </w:rPr>
            </w:pPr>
            <w:r w:rsidRPr="00AD151D">
              <w:rPr>
                <w:rFonts w:ascii="Arial" w:hAnsi="Arial" w:cs="Arial"/>
                <w:b/>
                <w:bCs/>
                <w:color w:val="000000"/>
                <w:sz w:val="20"/>
                <w:szCs w:val="20"/>
              </w:rPr>
              <w:t>Step 12</w:t>
            </w:r>
          </w:p>
        </w:tc>
        <w:tc>
          <w:tcPr>
            <w:tcW w:w="6607" w:type="dxa"/>
            <w:tcBorders>
              <w:top w:val="single" w:sz="6" w:space="0" w:color="auto"/>
              <w:left w:val="single" w:sz="6" w:space="0" w:color="auto"/>
              <w:bottom w:val="single" w:sz="6" w:space="0" w:color="auto"/>
              <w:right w:val="single" w:sz="6" w:space="0" w:color="auto"/>
            </w:tcBorders>
          </w:tcPr>
          <w:p w:rsidR="00AE7D50" w:rsidRPr="00AD151D" w:rsidRDefault="00AE7D50" w:rsidP="00A01172">
            <w:pPr>
              <w:keepNext/>
              <w:keepLines/>
              <w:autoSpaceDE w:val="0"/>
              <w:autoSpaceDN w:val="0"/>
              <w:adjustRightInd w:val="0"/>
              <w:spacing w:before="60" w:after="60"/>
              <w:rPr>
                <w:rFonts w:ascii="Arial" w:hAnsi="Arial" w:cs="Arial"/>
                <w:b/>
                <w:bCs/>
                <w:color w:val="000000"/>
                <w:sz w:val="20"/>
                <w:szCs w:val="20"/>
              </w:rPr>
            </w:pPr>
            <w:r w:rsidRPr="00AD151D">
              <w:rPr>
                <w:rFonts w:ascii="Arial" w:hAnsi="Arial" w:cs="Arial"/>
                <w:b/>
                <w:bCs/>
                <w:color w:val="000000"/>
                <w:sz w:val="20"/>
                <w:szCs w:val="20"/>
              </w:rPr>
              <w:t>Available Import Capability after Step 11</w:t>
            </w:r>
          </w:p>
        </w:tc>
        <w:tc>
          <w:tcPr>
            <w:tcW w:w="838" w:type="dxa"/>
            <w:tcBorders>
              <w:top w:val="single" w:sz="6" w:space="0" w:color="auto"/>
              <w:left w:val="single" w:sz="6" w:space="0" w:color="auto"/>
              <w:bottom w:val="single" w:sz="6" w:space="0" w:color="auto"/>
              <w:right w:val="single" w:sz="6" w:space="0" w:color="auto"/>
            </w:tcBorders>
          </w:tcPr>
          <w:p w:rsidR="00AE7D50" w:rsidRPr="00AD151D" w:rsidRDefault="00AE7D50" w:rsidP="00A01172">
            <w:pPr>
              <w:keepNext/>
              <w:keepLines/>
              <w:autoSpaceDE w:val="0"/>
              <w:autoSpaceDN w:val="0"/>
              <w:adjustRightInd w:val="0"/>
              <w:spacing w:before="60" w:after="60"/>
              <w:jc w:val="center"/>
              <w:rPr>
                <w:rFonts w:ascii="Arial" w:hAnsi="Arial" w:cs="Arial"/>
                <w:b/>
                <w:bCs/>
                <w:sz w:val="20"/>
                <w:szCs w:val="20"/>
              </w:rPr>
            </w:pPr>
            <w:r w:rsidRPr="00AD151D">
              <w:rPr>
                <w:rFonts w:ascii="Arial" w:hAnsi="Arial" w:cs="Arial"/>
                <w:b/>
                <w:bCs/>
                <w:sz w:val="20"/>
                <w:szCs w:val="20"/>
              </w:rPr>
              <w:t>326</w:t>
            </w:r>
          </w:p>
        </w:tc>
      </w:tr>
      <w:tr w:rsidR="00AE7D50" w:rsidRPr="00AD151D">
        <w:trPr>
          <w:trHeight w:val="290"/>
        </w:trPr>
        <w:tc>
          <w:tcPr>
            <w:tcW w:w="967" w:type="dxa"/>
            <w:tcBorders>
              <w:top w:val="single" w:sz="6" w:space="0" w:color="auto"/>
              <w:left w:val="single" w:sz="6" w:space="0" w:color="auto"/>
              <w:bottom w:val="single" w:sz="6" w:space="0" w:color="auto"/>
              <w:right w:val="single" w:sz="6" w:space="0" w:color="auto"/>
            </w:tcBorders>
          </w:tcPr>
          <w:p w:rsidR="00AE7D50" w:rsidRPr="00AD151D" w:rsidRDefault="00AE7D50" w:rsidP="00A01172">
            <w:pPr>
              <w:keepNext/>
              <w:keepLines/>
              <w:autoSpaceDE w:val="0"/>
              <w:autoSpaceDN w:val="0"/>
              <w:adjustRightInd w:val="0"/>
              <w:spacing w:before="60" w:after="60"/>
              <w:jc w:val="center"/>
              <w:rPr>
                <w:rFonts w:ascii="Arial" w:hAnsi="Arial" w:cs="Arial"/>
                <w:b/>
                <w:bCs/>
                <w:color w:val="000000"/>
                <w:sz w:val="20"/>
                <w:szCs w:val="20"/>
              </w:rPr>
            </w:pPr>
            <w:r w:rsidRPr="00AD151D">
              <w:rPr>
                <w:rFonts w:ascii="Arial" w:hAnsi="Arial" w:cs="Arial"/>
                <w:b/>
                <w:bCs/>
                <w:color w:val="000000"/>
                <w:sz w:val="20"/>
                <w:szCs w:val="20"/>
              </w:rPr>
              <w:t>Step 13</w:t>
            </w:r>
          </w:p>
        </w:tc>
        <w:tc>
          <w:tcPr>
            <w:tcW w:w="6607" w:type="dxa"/>
            <w:tcBorders>
              <w:top w:val="single" w:sz="6" w:space="0" w:color="auto"/>
              <w:left w:val="single" w:sz="6" w:space="0" w:color="auto"/>
              <w:bottom w:val="single" w:sz="6" w:space="0" w:color="auto"/>
              <w:right w:val="single" w:sz="6" w:space="0" w:color="auto"/>
            </w:tcBorders>
          </w:tcPr>
          <w:p w:rsidR="00AE7D50" w:rsidRPr="00AD151D" w:rsidRDefault="00AE7D50" w:rsidP="00A01172">
            <w:pPr>
              <w:keepNext/>
              <w:keepLines/>
              <w:autoSpaceDE w:val="0"/>
              <w:autoSpaceDN w:val="0"/>
              <w:adjustRightInd w:val="0"/>
              <w:spacing w:before="60" w:after="60"/>
              <w:rPr>
                <w:rFonts w:ascii="Arial" w:hAnsi="Arial" w:cs="Arial"/>
                <w:b/>
                <w:bCs/>
                <w:color w:val="000000"/>
                <w:sz w:val="20"/>
                <w:szCs w:val="20"/>
              </w:rPr>
            </w:pPr>
            <w:r w:rsidRPr="00AD151D">
              <w:rPr>
                <w:rFonts w:ascii="Arial" w:hAnsi="Arial" w:cs="Arial"/>
                <w:b/>
                <w:bCs/>
                <w:color w:val="000000"/>
                <w:sz w:val="20"/>
                <w:szCs w:val="20"/>
              </w:rPr>
              <w:t>Assigned Remaining Import Capability after Step 12</w:t>
            </w:r>
          </w:p>
        </w:tc>
        <w:tc>
          <w:tcPr>
            <w:tcW w:w="838" w:type="dxa"/>
            <w:tcBorders>
              <w:top w:val="single" w:sz="6" w:space="0" w:color="auto"/>
              <w:left w:val="single" w:sz="6" w:space="0" w:color="auto"/>
              <w:bottom w:val="single" w:sz="6" w:space="0" w:color="auto"/>
              <w:right w:val="single" w:sz="6" w:space="0" w:color="auto"/>
            </w:tcBorders>
          </w:tcPr>
          <w:p w:rsidR="00AE7D50" w:rsidRPr="00AD151D" w:rsidRDefault="00AE7D50" w:rsidP="00A01172">
            <w:pPr>
              <w:keepNext/>
              <w:keepLines/>
              <w:autoSpaceDE w:val="0"/>
              <w:autoSpaceDN w:val="0"/>
              <w:adjustRightInd w:val="0"/>
              <w:spacing w:before="60" w:after="60"/>
              <w:jc w:val="center"/>
              <w:rPr>
                <w:rFonts w:ascii="Arial" w:hAnsi="Arial" w:cs="Arial"/>
                <w:b/>
                <w:bCs/>
                <w:sz w:val="20"/>
                <w:szCs w:val="20"/>
              </w:rPr>
            </w:pPr>
            <w:r w:rsidRPr="00AD151D">
              <w:rPr>
                <w:rFonts w:ascii="Arial" w:hAnsi="Arial" w:cs="Arial"/>
                <w:b/>
                <w:bCs/>
                <w:sz w:val="20"/>
                <w:szCs w:val="20"/>
              </w:rPr>
              <w:t>320</w:t>
            </w:r>
          </w:p>
        </w:tc>
      </w:tr>
      <w:tr w:rsidR="00AE7D50" w:rsidRPr="00AD151D">
        <w:trPr>
          <w:trHeight w:val="290"/>
        </w:trPr>
        <w:tc>
          <w:tcPr>
            <w:tcW w:w="967" w:type="dxa"/>
            <w:tcBorders>
              <w:top w:val="single" w:sz="6" w:space="0" w:color="auto"/>
              <w:left w:val="single" w:sz="6" w:space="0" w:color="auto"/>
              <w:bottom w:val="single" w:sz="6" w:space="0" w:color="auto"/>
              <w:right w:val="single" w:sz="6" w:space="0" w:color="auto"/>
            </w:tcBorders>
          </w:tcPr>
          <w:p w:rsidR="00AE7D50" w:rsidRPr="00AD151D" w:rsidRDefault="00AE7D50" w:rsidP="00A01172">
            <w:pPr>
              <w:keepNext/>
              <w:keepLines/>
              <w:autoSpaceDE w:val="0"/>
              <w:autoSpaceDN w:val="0"/>
              <w:adjustRightInd w:val="0"/>
              <w:spacing w:before="60" w:after="60"/>
              <w:jc w:val="right"/>
              <w:rPr>
                <w:rFonts w:ascii="Arial" w:hAnsi="Arial" w:cs="Arial"/>
                <w:b/>
                <w:bCs/>
                <w:color w:val="000000"/>
                <w:sz w:val="20"/>
                <w:szCs w:val="20"/>
              </w:rPr>
            </w:pPr>
          </w:p>
        </w:tc>
        <w:tc>
          <w:tcPr>
            <w:tcW w:w="6607" w:type="dxa"/>
            <w:tcBorders>
              <w:top w:val="single" w:sz="6" w:space="0" w:color="auto"/>
              <w:left w:val="single" w:sz="6" w:space="0" w:color="auto"/>
              <w:bottom w:val="single" w:sz="6" w:space="0" w:color="auto"/>
              <w:right w:val="single" w:sz="6" w:space="0" w:color="auto"/>
            </w:tcBorders>
          </w:tcPr>
          <w:p w:rsidR="00AE7D50" w:rsidRPr="00AD151D" w:rsidRDefault="00AE7D50" w:rsidP="00A01172">
            <w:pPr>
              <w:keepNext/>
              <w:keepLines/>
              <w:autoSpaceDE w:val="0"/>
              <w:autoSpaceDN w:val="0"/>
              <w:adjustRightInd w:val="0"/>
              <w:spacing w:before="60" w:after="60"/>
              <w:rPr>
                <w:rFonts w:ascii="Arial" w:hAnsi="Arial" w:cs="Arial"/>
                <w:b/>
                <w:bCs/>
                <w:color w:val="000000"/>
                <w:sz w:val="20"/>
                <w:szCs w:val="20"/>
              </w:rPr>
            </w:pPr>
            <w:r w:rsidRPr="00AD151D">
              <w:rPr>
                <w:rFonts w:ascii="Arial" w:hAnsi="Arial" w:cs="Arial"/>
                <w:b/>
                <w:bCs/>
                <w:color w:val="000000"/>
                <w:sz w:val="20"/>
                <w:szCs w:val="20"/>
              </w:rPr>
              <w:t>Available Import Capability after Step 13</w:t>
            </w:r>
          </w:p>
        </w:tc>
        <w:tc>
          <w:tcPr>
            <w:tcW w:w="838" w:type="dxa"/>
            <w:tcBorders>
              <w:top w:val="single" w:sz="6" w:space="0" w:color="auto"/>
              <w:left w:val="single" w:sz="6" w:space="0" w:color="auto"/>
              <w:bottom w:val="single" w:sz="6" w:space="0" w:color="auto"/>
              <w:right w:val="single" w:sz="6" w:space="0" w:color="auto"/>
            </w:tcBorders>
          </w:tcPr>
          <w:p w:rsidR="00AE7D50" w:rsidRPr="00AD151D" w:rsidRDefault="00AE7D50" w:rsidP="00A01172">
            <w:pPr>
              <w:keepNext/>
              <w:keepLines/>
              <w:autoSpaceDE w:val="0"/>
              <w:autoSpaceDN w:val="0"/>
              <w:adjustRightInd w:val="0"/>
              <w:spacing w:before="60" w:after="60"/>
              <w:jc w:val="center"/>
              <w:rPr>
                <w:rFonts w:ascii="Arial" w:hAnsi="Arial" w:cs="Arial"/>
                <w:b/>
                <w:bCs/>
                <w:sz w:val="20"/>
                <w:szCs w:val="20"/>
              </w:rPr>
            </w:pPr>
            <w:r w:rsidRPr="00AD151D">
              <w:rPr>
                <w:rFonts w:ascii="Arial" w:hAnsi="Arial" w:cs="Arial"/>
                <w:b/>
                <w:bCs/>
                <w:sz w:val="20"/>
                <w:szCs w:val="20"/>
              </w:rPr>
              <w:t>6</w:t>
            </w:r>
          </w:p>
        </w:tc>
      </w:tr>
    </w:tbl>
    <w:p w:rsidR="00AE7D50" w:rsidRPr="00AD151D" w:rsidRDefault="00AE7D50">
      <w:pPr>
        <w:keepNext/>
        <w:keepLines/>
        <w:spacing w:before="120"/>
        <w:rPr>
          <w:sz w:val="18"/>
          <w:szCs w:val="18"/>
        </w:rPr>
      </w:pPr>
      <w:r w:rsidRPr="00AD151D">
        <w:rPr>
          <w:sz w:val="18"/>
          <w:szCs w:val="18"/>
        </w:rPr>
        <w:t>Source:  Aggregate CAISO import allocations posted here</w:t>
      </w:r>
      <w:r w:rsidR="00467339" w:rsidRPr="00AD151D">
        <w:t xml:space="preserve"> </w:t>
      </w:r>
      <w:r w:rsidR="00467339" w:rsidRPr="00AD151D">
        <w:rPr>
          <w:sz w:val="18"/>
          <w:szCs w:val="18"/>
        </w:rPr>
        <w:t>http://www.caiso.com/Documents/2011AssignedandUnassignedRAImportCapabilityonBranchGroups-AfterStep6.pdf</w:t>
      </w:r>
    </w:p>
    <w:p w:rsidR="00AE7D50" w:rsidRPr="00AD151D" w:rsidRDefault="00AE7D50">
      <w:pPr>
        <w:widowControl w:val="0"/>
        <w:spacing w:before="120"/>
        <w:ind w:firstLine="720"/>
        <w:rPr>
          <w:b/>
          <w:u w:val="single"/>
        </w:rPr>
      </w:pPr>
      <w:r w:rsidRPr="00AD151D">
        <w:t xml:space="preserve">Throughout the summer of 2011, the CAISO allocated 13,573 MW out of 16,956 MW of import capacity to LSEs, </w:t>
      </w:r>
      <w:r w:rsidR="00BB3463">
        <w:t>and</w:t>
      </w:r>
      <w:r w:rsidR="00BB3463" w:rsidRPr="00AD151D">
        <w:t xml:space="preserve"> </w:t>
      </w:r>
      <w:r w:rsidRPr="00AD151D">
        <w:t xml:space="preserve">3,383 MW to Existing Transmission Contracts (ETCs) outside the CAISO control area.  </w:t>
      </w:r>
      <w:r w:rsidR="00F27FC0" w:rsidRPr="00AD151D">
        <w:fldChar w:fldCharType="begin"/>
      </w:r>
      <w:r w:rsidR="00F27FC0" w:rsidRPr="00AD151D">
        <w:instrText xml:space="preserve"> REF _Ref223944609 \h  \* MERGEFORMAT </w:instrText>
      </w:r>
      <w:r w:rsidR="00F27FC0" w:rsidRPr="00AD151D">
        <w:fldChar w:fldCharType="separate"/>
      </w:r>
      <w:r w:rsidR="00B3535E" w:rsidRPr="00B3535E">
        <w:t>Table 10</w:t>
      </w:r>
      <w:r w:rsidR="00F27FC0" w:rsidRPr="00AD151D">
        <w:fldChar w:fldCharType="end"/>
      </w:r>
      <w:r w:rsidRPr="00AD151D">
        <w:t xml:space="preserve"> below summarizes 2011 Import Allocations and the use of Import Allocations in RA filings.  All LSEs in CAISO reported between 3,560 and 6,150 MW of import capacity.  LSEs used between 40 and 69 percent of their total import allocations during the summer of 2011.  Imports represented between 8 and 11 percent of all RA capacity.</w:t>
      </w:r>
    </w:p>
    <w:p w:rsidR="00AE7D50" w:rsidRPr="00AD151D" w:rsidRDefault="00AE7D50" w:rsidP="00855F85">
      <w:pPr>
        <w:pStyle w:val="Caption"/>
        <w:keepNext/>
        <w:keepLines/>
        <w:spacing w:before="120"/>
        <w:rPr>
          <w:sz w:val="22"/>
          <w:szCs w:val="22"/>
        </w:rPr>
      </w:pPr>
      <w:bookmarkStart w:id="95" w:name="_Ref223944609"/>
      <w:bookmarkStart w:id="96" w:name="_Toc347827080"/>
      <w:r w:rsidRPr="00AD151D">
        <w:rPr>
          <w:sz w:val="22"/>
          <w:szCs w:val="22"/>
        </w:rPr>
        <w:t xml:space="preserve">Table </w:t>
      </w:r>
      <w:r w:rsidRPr="00AD151D">
        <w:rPr>
          <w:sz w:val="22"/>
          <w:szCs w:val="22"/>
        </w:rPr>
        <w:fldChar w:fldCharType="begin"/>
      </w:r>
      <w:r w:rsidRPr="00AD151D">
        <w:rPr>
          <w:sz w:val="22"/>
          <w:szCs w:val="22"/>
        </w:rPr>
        <w:instrText xml:space="preserve"> SEQ Table \* ARABIC </w:instrText>
      </w:r>
      <w:r w:rsidRPr="00AD151D">
        <w:rPr>
          <w:sz w:val="22"/>
          <w:szCs w:val="22"/>
        </w:rPr>
        <w:fldChar w:fldCharType="separate"/>
      </w:r>
      <w:r w:rsidR="00B3535E">
        <w:rPr>
          <w:noProof/>
          <w:sz w:val="22"/>
          <w:szCs w:val="22"/>
        </w:rPr>
        <w:t>10</w:t>
      </w:r>
      <w:r w:rsidRPr="00AD151D">
        <w:rPr>
          <w:sz w:val="22"/>
          <w:szCs w:val="22"/>
        </w:rPr>
        <w:fldChar w:fldCharType="end"/>
      </w:r>
      <w:bookmarkEnd w:id="95"/>
      <w:r w:rsidRPr="00AD151D">
        <w:rPr>
          <w:sz w:val="22"/>
          <w:szCs w:val="22"/>
        </w:rPr>
        <w:t>.  2011 Import Allocations and Usage (MW)</w:t>
      </w:r>
      <w:bookmarkEnd w:id="96"/>
    </w:p>
    <w:tbl>
      <w:tblPr>
        <w:tblW w:w="8295"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83"/>
        <w:gridCol w:w="3101"/>
        <w:gridCol w:w="880"/>
        <w:gridCol w:w="881"/>
        <w:gridCol w:w="881"/>
        <w:gridCol w:w="891"/>
        <w:gridCol w:w="1078"/>
      </w:tblGrid>
      <w:tr w:rsidR="00AE7D50" w:rsidRPr="00AD151D">
        <w:trPr>
          <w:trHeight w:val="285"/>
        </w:trPr>
        <w:tc>
          <w:tcPr>
            <w:tcW w:w="583" w:type="dxa"/>
            <w:noWrap/>
            <w:vAlign w:val="bottom"/>
          </w:tcPr>
          <w:p w:rsidR="00AE7D50" w:rsidRPr="00AD151D" w:rsidRDefault="00AE7D50">
            <w:pPr>
              <w:keepNext/>
              <w:keepLines/>
              <w:rPr>
                <w:sz w:val="20"/>
                <w:szCs w:val="20"/>
              </w:rPr>
            </w:pPr>
            <w:r w:rsidRPr="00AD151D">
              <w:rPr>
                <w:sz w:val="20"/>
                <w:szCs w:val="20"/>
              </w:rPr>
              <w:t>Line</w:t>
            </w:r>
          </w:p>
        </w:tc>
        <w:tc>
          <w:tcPr>
            <w:tcW w:w="3101" w:type="dxa"/>
          </w:tcPr>
          <w:p w:rsidR="00AE7D50" w:rsidRPr="00AD151D" w:rsidRDefault="00AE7D50">
            <w:pPr>
              <w:keepNext/>
              <w:keepLines/>
              <w:jc w:val="center"/>
              <w:rPr>
                <w:b/>
                <w:bCs/>
                <w:sz w:val="18"/>
                <w:szCs w:val="18"/>
              </w:rPr>
            </w:pPr>
            <w:r w:rsidRPr="00AD151D">
              <w:rPr>
                <w:b/>
                <w:bCs/>
                <w:sz w:val="18"/>
                <w:szCs w:val="18"/>
              </w:rPr>
              <w:t>Element</w:t>
            </w:r>
          </w:p>
        </w:tc>
        <w:tc>
          <w:tcPr>
            <w:tcW w:w="880" w:type="dxa"/>
          </w:tcPr>
          <w:p w:rsidR="00AE7D50" w:rsidRPr="00AD151D" w:rsidRDefault="00AE7D50">
            <w:pPr>
              <w:keepNext/>
              <w:keepLines/>
              <w:jc w:val="center"/>
              <w:rPr>
                <w:b/>
                <w:bCs/>
                <w:sz w:val="18"/>
                <w:szCs w:val="18"/>
              </w:rPr>
            </w:pPr>
            <w:r w:rsidRPr="00AD151D">
              <w:rPr>
                <w:b/>
                <w:bCs/>
                <w:sz w:val="18"/>
                <w:szCs w:val="18"/>
              </w:rPr>
              <w:t>May</w:t>
            </w:r>
          </w:p>
        </w:tc>
        <w:tc>
          <w:tcPr>
            <w:tcW w:w="881" w:type="dxa"/>
          </w:tcPr>
          <w:p w:rsidR="00AE7D50" w:rsidRPr="00AD151D" w:rsidRDefault="00AE7D50">
            <w:pPr>
              <w:keepNext/>
              <w:keepLines/>
              <w:jc w:val="center"/>
              <w:rPr>
                <w:b/>
                <w:bCs/>
                <w:sz w:val="18"/>
                <w:szCs w:val="18"/>
              </w:rPr>
            </w:pPr>
            <w:r w:rsidRPr="00AD151D">
              <w:rPr>
                <w:b/>
                <w:bCs/>
                <w:sz w:val="18"/>
                <w:szCs w:val="18"/>
              </w:rPr>
              <w:t>June</w:t>
            </w:r>
          </w:p>
        </w:tc>
        <w:tc>
          <w:tcPr>
            <w:tcW w:w="881" w:type="dxa"/>
          </w:tcPr>
          <w:p w:rsidR="00AE7D50" w:rsidRPr="00AD151D" w:rsidRDefault="00AE7D50">
            <w:pPr>
              <w:keepNext/>
              <w:keepLines/>
              <w:jc w:val="center"/>
              <w:rPr>
                <w:b/>
                <w:bCs/>
                <w:sz w:val="18"/>
                <w:szCs w:val="18"/>
              </w:rPr>
            </w:pPr>
            <w:r w:rsidRPr="00AD151D">
              <w:rPr>
                <w:b/>
                <w:bCs/>
                <w:sz w:val="18"/>
                <w:szCs w:val="18"/>
              </w:rPr>
              <w:t>July</w:t>
            </w:r>
          </w:p>
        </w:tc>
        <w:tc>
          <w:tcPr>
            <w:tcW w:w="891" w:type="dxa"/>
          </w:tcPr>
          <w:p w:rsidR="00AE7D50" w:rsidRPr="00AD151D" w:rsidRDefault="00AE7D50">
            <w:pPr>
              <w:keepNext/>
              <w:keepLines/>
              <w:jc w:val="center"/>
              <w:rPr>
                <w:b/>
                <w:bCs/>
                <w:sz w:val="18"/>
                <w:szCs w:val="18"/>
              </w:rPr>
            </w:pPr>
            <w:r w:rsidRPr="00AD151D">
              <w:rPr>
                <w:b/>
                <w:bCs/>
                <w:sz w:val="18"/>
                <w:szCs w:val="18"/>
              </w:rPr>
              <w:t>August</w:t>
            </w:r>
          </w:p>
        </w:tc>
        <w:tc>
          <w:tcPr>
            <w:tcW w:w="1078" w:type="dxa"/>
          </w:tcPr>
          <w:p w:rsidR="00AE7D50" w:rsidRPr="00AD151D" w:rsidRDefault="00AE7D50">
            <w:pPr>
              <w:keepNext/>
              <w:keepLines/>
              <w:jc w:val="center"/>
              <w:rPr>
                <w:b/>
                <w:bCs/>
                <w:sz w:val="18"/>
                <w:szCs w:val="18"/>
              </w:rPr>
            </w:pPr>
            <w:r w:rsidRPr="00AD151D">
              <w:rPr>
                <w:b/>
                <w:bCs/>
                <w:sz w:val="18"/>
                <w:szCs w:val="18"/>
              </w:rPr>
              <w:t>September</w:t>
            </w:r>
          </w:p>
        </w:tc>
      </w:tr>
      <w:tr w:rsidR="00AE7D50" w:rsidRPr="00AD151D">
        <w:trPr>
          <w:trHeight w:val="322"/>
        </w:trPr>
        <w:tc>
          <w:tcPr>
            <w:tcW w:w="583" w:type="dxa"/>
            <w:noWrap/>
            <w:vAlign w:val="bottom"/>
          </w:tcPr>
          <w:p w:rsidR="00AE7D50" w:rsidRPr="00AD151D" w:rsidRDefault="00AE7D50">
            <w:pPr>
              <w:keepNext/>
              <w:keepLines/>
              <w:jc w:val="right"/>
              <w:rPr>
                <w:sz w:val="20"/>
                <w:szCs w:val="20"/>
              </w:rPr>
            </w:pPr>
            <w:r w:rsidRPr="00AD151D">
              <w:rPr>
                <w:sz w:val="20"/>
                <w:szCs w:val="20"/>
              </w:rPr>
              <w:t>1</w:t>
            </w:r>
          </w:p>
        </w:tc>
        <w:tc>
          <w:tcPr>
            <w:tcW w:w="3101" w:type="dxa"/>
          </w:tcPr>
          <w:p w:rsidR="00AE7D50" w:rsidRPr="00AD151D" w:rsidRDefault="00AE7D50">
            <w:pPr>
              <w:keepNext/>
              <w:keepLines/>
              <w:rPr>
                <w:b/>
                <w:bCs/>
                <w:sz w:val="18"/>
                <w:szCs w:val="18"/>
              </w:rPr>
            </w:pPr>
            <w:r w:rsidRPr="00AD151D">
              <w:rPr>
                <w:b/>
                <w:bCs/>
                <w:sz w:val="18"/>
                <w:szCs w:val="18"/>
              </w:rPr>
              <w:t>Import Allocations provided to LSEs for use in RA filings</w:t>
            </w:r>
          </w:p>
        </w:tc>
        <w:tc>
          <w:tcPr>
            <w:tcW w:w="880" w:type="dxa"/>
          </w:tcPr>
          <w:p w:rsidR="00AE7D50" w:rsidRPr="00AD151D" w:rsidRDefault="00AE7D50" w:rsidP="00C83B76">
            <w:pPr>
              <w:keepNext/>
              <w:keepLines/>
              <w:spacing w:before="60" w:after="60"/>
              <w:jc w:val="center"/>
              <w:rPr>
                <w:sz w:val="18"/>
                <w:szCs w:val="18"/>
              </w:rPr>
            </w:pPr>
            <w:r w:rsidRPr="00AD151D">
              <w:rPr>
                <w:sz w:val="18"/>
                <w:szCs w:val="18"/>
              </w:rPr>
              <w:t>8,891</w:t>
            </w:r>
          </w:p>
        </w:tc>
        <w:tc>
          <w:tcPr>
            <w:tcW w:w="881" w:type="dxa"/>
          </w:tcPr>
          <w:p w:rsidR="00AE7D50" w:rsidRPr="00AD151D" w:rsidRDefault="00AE7D50" w:rsidP="00C83B76">
            <w:pPr>
              <w:keepNext/>
              <w:keepLines/>
              <w:spacing w:before="60" w:after="60"/>
              <w:jc w:val="center"/>
              <w:rPr>
                <w:sz w:val="18"/>
                <w:szCs w:val="18"/>
              </w:rPr>
            </w:pPr>
            <w:r w:rsidRPr="00AD151D">
              <w:rPr>
                <w:sz w:val="18"/>
                <w:szCs w:val="18"/>
              </w:rPr>
              <w:t>8,891</w:t>
            </w:r>
          </w:p>
        </w:tc>
        <w:tc>
          <w:tcPr>
            <w:tcW w:w="881" w:type="dxa"/>
          </w:tcPr>
          <w:p w:rsidR="00AE7D50" w:rsidRPr="00AD151D" w:rsidRDefault="00AE7D50" w:rsidP="00C83B76">
            <w:pPr>
              <w:keepNext/>
              <w:keepLines/>
              <w:spacing w:before="60" w:after="60"/>
              <w:jc w:val="center"/>
              <w:rPr>
                <w:sz w:val="18"/>
                <w:szCs w:val="18"/>
              </w:rPr>
            </w:pPr>
            <w:r w:rsidRPr="00AD151D">
              <w:rPr>
                <w:sz w:val="18"/>
                <w:szCs w:val="18"/>
              </w:rPr>
              <w:t>8,891</w:t>
            </w:r>
          </w:p>
        </w:tc>
        <w:tc>
          <w:tcPr>
            <w:tcW w:w="891" w:type="dxa"/>
          </w:tcPr>
          <w:p w:rsidR="00AE7D50" w:rsidRPr="00AD151D" w:rsidRDefault="00AE7D50" w:rsidP="00C83B76">
            <w:pPr>
              <w:keepNext/>
              <w:keepLines/>
              <w:spacing w:before="60" w:after="60"/>
              <w:jc w:val="center"/>
              <w:rPr>
                <w:sz w:val="18"/>
                <w:szCs w:val="18"/>
              </w:rPr>
            </w:pPr>
            <w:r w:rsidRPr="00AD151D">
              <w:rPr>
                <w:sz w:val="18"/>
                <w:szCs w:val="18"/>
              </w:rPr>
              <w:t>8,891</w:t>
            </w:r>
          </w:p>
        </w:tc>
        <w:tc>
          <w:tcPr>
            <w:tcW w:w="1078" w:type="dxa"/>
          </w:tcPr>
          <w:p w:rsidR="00AE7D50" w:rsidRPr="00AD151D" w:rsidRDefault="00AE7D50" w:rsidP="00C83B76">
            <w:pPr>
              <w:keepNext/>
              <w:keepLines/>
              <w:spacing w:before="60" w:after="60"/>
              <w:jc w:val="center"/>
              <w:rPr>
                <w:sz w:val="18"/>
                <w:szCs w:val="18"/>
              </w:rPr>
            </w:pPr>
            <w:r w:rsidRPr="00AD151D">
              <w:rPr>
                <w:sz w:val="18"/>
                <w:szCs w:val="18"/>
              </w:rPr>
              <w:t>8,891</w:t>
            </w:r>
          </w:p>
        </w:tc>
      </w:tr>
      <w:tr w:rsidR="00AE7D50" w:rsidRPr="00AD151D" w:rsidTr="00041870">
        <w:trPr>
          <w:trHeight w:val="331"/>
        </w:trPr>
        <w:tc>
          <w:tcPr>
            <w:tcW w:w="583" w:type="dxa"/>
            <w:noWrap/>
            <w:vAlign w:val="bottom"/>
          </w:tcPr>
          <w:p w:rsidR="00AE7D50" w:rsidRPr="00AD151D" w:rsidRDefault="00AE7D50">
            <w:pPr>
              <w:keepNext/>
              <w:keepLines/>
              <w:jc w:val="right"/>
              <w:rPr>
                <w:sz w:val="20"/>
                <w:szCs w:val="20"/>
              </w:rPr>
            </w:pPr>
            <w:r w:rsidRPr="00AD151D">
              <w:rPr>
                <w:sz w:val="20"/>
                <w:szCs w:val="20"/>
              </w:rPr>
              <w:t>2</w:t>
            </w:r>
          </w:p>
        </w:tc>
        <w:tc>
          <w:tcPr>
            <w:tcW w:w="3101" w:type="dxa"/>
          </w:tcPr>
          <w:p w:rsidR="00AE7D50" w:rsidRPr="00AD151D" w:rsidRDefault="00AE7D50">
            <w:pPr>
              <w:keepNext/>
              <w:keepLines/>
              <w:rPr>
                <w:b/>
                <w:bCs/>
                <w:sz w:val="18"/>
                <w:szCs w:val="18"/>
              </w:rPr>
            </w:pPr>
            <w:r w:rsidRPr="00AD151D">
              <w:rPr>
                <w:b/>
                <w:bCs/>
                <w:sz w:val="18"/>
                <w:szCs w:val="18"/>
              </w:rPr>
              <w:t>Imports shown by CPUC jurisdictional LSEs</w:t>
            </w:r>
          </w:p>
        </w:tc>
        <w:tc>
          <w:tcPr>
            <w:tcW w:w="880" w:type="dxa"/>
            <w:vAlign w:val="bottom"/>
          </w:tcPr>
          <w:p w:rsidR="00AE7D50" w:rsidRPr="00AD151D" w:rsidRDefault="00AE7D50" w:rsidP="00C83B76">
            <w:pPr>
              <w:spacing w:before="60" w:after="60"/>
              <w:jc w:val="center"/>
              <w:rPr>
                <w:color w:val="000000"/>
                <w:sz w:val="18"/>
                <w:szCs w:val="18"/>
              </w:rPr>
            </w:pPr>
            <w:r w:rsidRPr="00AD151D">
              <w:rPr>
                <w:color w:val="000000"/>
                <w:sz w:val="18"/>
                <w:szCs w:val="18"/>
              </w:rPr>
              <w:t>2,674</w:t>
            </w:r>
          </w:p>
        </w:tc>
        <w:tc>
          <w:tcPr>
            <w:tcW w:w="881" w:type="dxa"/>
            <w:vAlign w:val="bottom"/>
          </w:tcPr>
          <w:p w:rsidR="00AE7D50" w:rsidRPr="00AD151D" w:rsidRDefault="00AE7D50" w:rsidP="00C83B76">
            <w:pPr>
              <w:spacing w:before="60" w:after="60"/>
              <w:jc w:val="center"/>
              <w:rPr>
                <w:color w:val="000000"/>
                <w:sz w:val="18"/>
                <w:szCs w:val="18"/>
              </w:rPr>
            </w:pPr>
            <w:r w:rsidRPr="00AD151D">
              <w:rPr>
                <w:color w:val="000000"/>
                <w:sz w:val="18"/>
                <w:szCs w:val="18"/>
              </w:rPr>
              <w:t>2,830</w:t>
            </w:r>
          </w:p>
        </w:tc>
        <w:tc>
          <w:tcPr>
            <w:tcW w:w="881" w:type="dxa"/>
            <w:vAlign w:val="bottom"/>
          </w:tcPr>
          <w:p w:rsidR="00AE7D50" w:rsidRPr="00AD151D" w:rsidRDefault="00AE7D50" w:rsidP="00C83B76">
            <w:pPr>
              <w:spacing w:before="60" w:after="60"/>
              <w:jc w:val="center"/>
              <w:rPr>
                <w:color w:val="000000"/>
                <w:sz w:val="18"/>
                <w:szCs w:val="18"/>
              </w:rPr>
            </w:pPr>
            <w:r w:rsidRPr="00AD151D">
              <w:rPr>
                <w:color w:val="000000"/>
                <w:sz w:val="18"/>
                <w:szCs w:val="18"/>
              </w:rPr>
              <w:t>3,979</w:t>
            </w:r>
          </w:p>
        </w:tc>
        <w:tc>
          <w:tcPr>
            <w:tcW w:w="891" w:type="dxa"/>
            <w:vAlign w:val="bottom"/>
          </w:tcPr>
          <w:p w:rsidR="00AE7D50" w:rsidRPr="00AD151D" w:rsidRDefault="00AE7D50" w:rsidP="00C83B76">
            <w:pPr>
              <w:spacing w:before="60" w:after="60"/>
              <w:jc w:val="center"/>
              <w:rPr>
                <w:color w:val="000000"/>
                <w:sz w:val="18"/>
                <w:szCs w:val="18"/>
              </w:rPr>
            </w:pPr>
            <w:r w:rsidRPr="00AD151D">
              <w:rPr>
                <w:color w:val="000000"/>
                <w:sz w:val="18"/>
                <w:szCs w:val="18"/>
              </w:rPr>
              <w:t>5,119</w:t>
            </w:r>
          </w:p>
        </w:tc>
        <w:tc>
          <w:tcPr>
            <w:tcW w:w="1078" w:type="dxa"/>
            <w:vAlign w:val="bottom"/>
          </w:tcPr>
          <w:p w:rsidR="00AE7D50" w:rsidRPr="00AD151D" w:rsidRDefault="00AE7D50" w:rsidP="00C83B76">
            <w:pPr>
              <w:spacing w:before="60" w:after="60"/>
              <w:jc w:val="center"/>
              <w:rPr>
                <w:color w:val="000000"/>
                <w:sz w:val="18"/>
                <w:szCs w:val="18"/>
              </w:rPr>
            </w:pPr>
            <w:r w:rsidRPr="00AD151D">
              <w:rPr>
                <w:color w:val="000000"/>
                <w:sz w:val="18"/>
                <w:szCs w:val="18"/>
              </w:rPr>
              <w:t>4,489</w:t>
            </w:r>
          </w:p>
        </w:tc>
      </w:tr>
      <w:tr w:rsidR="00AE7D50" w:rsidRPr="00AD151D">
        <w:trPr>
          <w:trHeight w:val="349"/>
        </w:trPr>
        <w:tc>
          <w:tcPr>
            <w:tcW w:w="583" w:type="dxa"/>
            <w:noWrap/>
            <w:vAlign w:val="bottom"/>
          </w:tcPr>
          <w:p w:rsidR="00AE7D50" w:rsidRPr="00AD151D" w:rsidRDefault="00AE7D50">
            <w:pPr>
              <w:keepNext/>
              <w:keepLines/>
              <w:jc w:val="right"/>
              <w:rPr>
                <w:sz w:val="20"/>
                <w:szCs w:val="20"/>
              </w:rPr>
            </w:pPr>
            <w:r w:rsidRPr="00AD151D">
              <w:rPr>
                <w:sz w:val="20"/>
                <w:szCs w:val="20"/>
              </w:rPr>
              <w:t>3</w:t>
            </w:r>
          </w:p>
        </w:tc>
        <w:tc>
          <w:tcPr>
            <w:tcW w:w="3101" w:type="dxa"/>
          </w:tcPr>
          <w:p w:rsidR="00AE7D50" w:rsidRPr="00AD151D" w:rsidRDefault="00AE7D50">
            <w:pPr>
              <w:keepNext/>
              <w:keepLines/>
              <w:rPr>
                <w:b/>
                <w:bCs/>
                <w:sz w:val="18"/>
                <w:szCs w:val="18"/>
              </w:rPr>
            </w:pPr>
            <w:r w:rsidRPr="00AD151D">
              <w:rPr>
                <w:b/>
                <w:bCs/>
                <w:sz w:val="18"/>
                <w:szCs w:val="18"/>
              </w:rPr>
              <w:t>Imports shown by non-CPUC jurisdictional LSEs</w:t>
            </w:r>
          </w:p>
        </w:tc>
        <w:tc>
          <w:tcPr>
            <w:tcW w:w="880" w:type="dxa"/>
          </w:tcPr>
          <w:p w:rsidR="00AE7D50" w:rsidRPr="00AD151D" w:rsidRDefault="00AE7D50" w:rsidP="00C83B76">
            <w:pPr>
              <w:spacing w:before="60" w:after="60"/>
              <w:jc w:val="center"/>
              <w:rPr>
                <w:sz w:val="18"/>
                <w:szCs w:val="18"/>
              </w:rPr>
            </w:pPr>
            <w:r w:rsidRPr="00AD151D">
              <w:rPr>
                <w:sz w:val="18"/>
                <w:szCs w:val="18"/>
              </w:rPr>
              <w:t>886</w:t>
            </w:r>
          </w:p>
          <w:p w:rsidR="00AE7D50" w:rsidRPr="00AD151D" w:rsidRDefault="00AE7D50" w:rsidP="00C83B76">
            <w:pPr>
              <w:keepNext/>
              <w:keepLines/>
              <w:spacing w:before="60" w:after="60"/>
              <w:jc w:val="center"/>
              <w:rPr>
                <w:sz w:val="18"/>
                <w:szCs w:val="18"/>
              </w:rPr>
            </w:pPr>
          </w:p>
        </w:tc>
        <w:tc>
          <w:tcPr>
            <w:tcW w:w="881" w:type="dxa"/>
          </w:tcPr>
          <w:p w:rsidR="00AE7D50" w:rsidRPr="00AD151D" w:rsidRDefault="00AE7D50" w:rsidP="00C83B76">
            <w:pPr>
              <w:keepNext/>
              <w:keepLines/>
              <w:spacing w:before="60" w:after="60"/>
              <w:jc w:val="center"/>
              <w:rPr>
                <w:sz w:val="18"/>
                <w:szCs w:val="18"/>
              </w:rPr>
            </w:pPr>
            <w:r w:rsidRPr="00AD151D">
              <w:rPr>
                <w:sz w:val="18"/>
                <w:szCs w:val="18"/>
              </w:rPr>
              <w:t>966</w:t>
            </w:r>
          </w:p>
        </w:tc>
        <w:tc>
          <w:tcPr>
            <w:tcW w:w="881" w:type="dxa"/>
          </w:tcPr>
          <w:p w:rsidR="00AE7D50" w:rsidRPr="00AD151D" w:rsidRDefault="00AE7D50" w:rsidP="00C83B76">
            <w:pPr>
              <w:keepNext/>
              <w:keepLines/>
              <w:spacing w:before="60" w:after="60"/>
              <w:jc w:val="center"/>
              <w:rPr>
                <w:sz w:val="18"/>
                <w:szCs w:val="18"/>
              </w:rPr>
            </w:pPr>
            <w:r w:rsidRPr="00AD151D">
              <w:rPr>
                <w:sz w:val="18"/>
                <w:szCs w:val="18"/>
              </w:rPr>
              <w:t>1,045</w:t>
            </w:r>
          </w:p>
        </w:tc>
        <w:tc>
          <w:tcPr>
            <w:tcW w:w="891" w:type="dxa"/>
          </w:tcPr>
          <w:p w:rsidR="00AE7D50" w:rsidRPr="00AD151D" w:rsidRDefault="00AE7D50" w:rsidP="00C83B76">
            <w:pPr>
              <w:keepNext/>
              <w:keepLines/>
              <w:spacing w:before="60" w:after="60"/>
              <w:jc w:val="center"/>
              <w:rPr>
                <w:sz w:val="18"/>
                <w:szCs w:val="18"/>
              </w:rPr>
            </w:pPr>
            <w:r w:rsidRPr="00AD151D">
              <w:rPr>
                <w:sz w:val="18"/>
                <w:szCs w:val="18"/>
              </w:rPr>
              <w:t>1,031</w:t>
            </w:r>
          </w:p>
        </w:tc>
        <w:tc>
          <w:tcPr>
            <w:tcW w:w="1078" w:type="dxa"/>
          </w:tcPr>
          <w:p w:rsidR="00AE7D50" w:rsidRPr="00AD151D" w:rsidRDefault="00AE7D50" w:rsidP="00C83B76">
            <w:pPr>
              <w:keepNext/>
              <w:keepLines/>
              <w:spacing w:before="60" w:after="60"/>
              <w:jc w:val="center"/>
              <w:rPr>
                <w:sz w:val="18"/>
                <w:szCs w:val="18"/>
              </w:rPr>
            </w:pPr>
            <w:r w:rsidRPr="00AD151D">
              <w:rPr>
                <w:sz w:val="18"/>
                <w:szCs w:val="18"/>
              </w:rPr>
              <w:t>1,059</w:t>
            </w:r>
          </w:p>
        </w:tc>
      </w:tr>
      <w:tr w:rsidR="00AE7D50" w:rsidRPr="00AD151D" w:rsidTr="00855F85">
        <w:trPr>
          <w:trHeight w:val="97"/>
        </w:trPr>
        <w:tc>
          <w:tcPr>
            <w:tcW w:w="583" w:type="dxa"/>
            <w:noWrap/>
            <w:vAlign w:val="bottom"/>
          </w:tcPr>
          <w:p w:rsidR="00AE7D50" w:rsidRPr="00AD151D" w:rsidRDefault="00AE7D50">
            <w:pPr>
              <w:keepNext/>
              <w:keepLines/>
              <w:jc w:val="right"/>
              <w:rPr>
                <w:sz w:val="20"/>
                <w:szCs w:val="20"/>
              </w:rPr>
            </w:pPr>
            <w:r w:rsidRPr="00AD151D">
              <w:rPr>
                <w:sz w:val="20"/>
                <w:szCs w:val="20"/>
              </w:rPr>
              <w:t>4</w:t>
            </w:r>
          </w:p>
        </w:tc>
        <w:tc>
          <w:tcPr>
            <w:tcW w:w="3101" w:type="dxa"/>
          </w:tcPr>
          <w:p w:rsidR="00AE7D50" w:rsidRPr="00AD151D" w:rsidRDefault="00AE7D50">
            <w:pPr>
              <w:keepNext/>
              <w:keepLines/>
              <w:rPr>
                <w:b/>
                <w:bCs/>
                <w:sz w:val="18"/>
                <w:szCs w:val="18"/>
              </w:rPr>
            </w:pPr>
            <w:r w:rsidRPr="00AD151D">
              <w:rPr>
                <w:b/>
                <w:bCs/>
                <w:sz w:val="18"/>
                <w:szCs w:val="18"/>
              </w:rPr>
              <w:t>Total Imports shown</w:t>
            </w:r>
          </w:p>
        </w:tc>
        <w:tc>
          <w:tcPr>
            <w:tcW w:w="880" w:type="dxa"/>
            <w:vAlign w:val="center"/>
          </w:tcPr>
          <w:p w:rsidR="00AE7D50" w:rsidRPr="00AD151D" w:rsidRDefault="00AE7D50" w:rsidP="00C83B76">
            <w:pPr>
              <w:spacing w:before="60" w:after="60"/>
              <w:jc w:val="center"/>
              <w:rPr>
                <w:sz w:val="18"/>
                <w:szCs w:val="18"/>
              </w:rPr>
            </w:pPr>
            <w:r w:rsidRPr="00AD151D">
              <w:rPr>
                <w:sz w:val="18"/>
                <w:szCs w:val="18"/>
              </w:rPr>
              <w:t>3,560</w:t>
            </w:r>
          </w:p>
        </w:tc>
        <w:tc>
          <w:tcPr>
            <w:tcW w:w="881" w:type="dxa"/>
            <w:vAlign w:val="center"/>
          </w:tcPr>
          <w:p w:rsidR="00AE7D50" w:rsidRPr="00AD151D" w:rsidRDefault="00AE7D50" w:rsidP="00C83B76">
            <w:pPr>
              <w:spacing w:before="60" w:after="60"/>
              <w:jc w:val="center"/>
              <w:rPr>
                <w:sz w:val="18"/>
                <w:szCs w:val="18"/>
              </w:rPr>
            </w:pPr>
            <w:r w:rsidRPr="00AD151D">
              <w:rPr>
                <w:sz w:val="18"/>
                <w:szCs w:val="18"/>
              </w:rPr>
              <w:t>3,796</w:t>
            </w:r>
          </w:p>
        </w:tc>
        <w:tc>
          <w:tcPr>
            <w:tcW w:w="881" w:type="dxa"/>
            <w:vAlign w:val="center"/>
          </w:tcPr>
          <w:p w:rsidR="00AE7D50" w:rsidRPr="00AD151D" w:rsidRDefault="00AE7D50" w:rsidP="00C83B76">
            <w:pPr>
              <w:spacing w:before="60" w:after="60"/>
              <w:jc w:val="center"/>
              <w:rPr>
                <w:sz w:val="18"/>
                <w:szCs w:val="18"/>
              </w:rPr>
            </w:pPr>
            <w:r w:rsidRPr="00AD151D">
              <w:rPr>
                <w:sz w:val="18"/>
                <w:szCs w:val="18"/>
              </w:rPr>
              <w:t>5,024</w:t>
            </w:r>
          </w:p>
        </w:tc>
        <w:tc>
          <w:tcPr>
            <w:tcW w:w="891" w:type="dxa"/>
            <w:vAlign w:val="center"/>
          </w:tcPr>
          <w:p w:rsidR="00AE7D50" w:rsidRPr="00AD151D" w:rsidRDefault="00AE7D50" w:rsidP="00C83B76">
            <w:pPr>
              <w:spacing w:before="60" w:after="60"/>
              <w:jc w:val="center"/>
              <w:rPr>
                <w:sz w:val="18"/>
                <w:szCs w:val="18"/>
              </w:rPr>
            </w:pPr>
            <w:r w:rsidRPr="00AD151D">
              <w:rPr>
                <w:sz w:val="18"/>
                <w:szCs w:val="18"/>
              </w:rPr>
              <w:t>6,150</w:t>
            </w:r>
          </w:p>
        </w:tc>
        <w:tc>
          <w:tcPr>
            <w:tcW w:w="1078" w:type="dxa"/>
            <w:vAlign w:val="center"/>
          </w:tcPr>
          <w:p w:rsidR="00AE7D50" w:rsidRPr="00AD151D" w:rsidRDefault="00AE7D50" w:rsidP="00C83B76">
            <w:pPr>
              <w:spacing w:before="60" w:after="60"/>
              <w:jc w:val="center"/>
              <w:rPr>
                <w:sz w:val="18"/>
                <w:szCs w:val="18"/>
              </w:rPr>
            </w:pPr>
            <w:r w:rsidRPr="00AD151D">
              <w:rPr>
                <w:sz w:val="18"/>
                <w:szCs w:val="18"/>
              </w:rPr>
              <w:t>5,548</w:t>
            </w:r>
          </w:p>
        </w:tc>
      </w:tr>
      <w:tr w:rsidR="00AE7D50" w:rsidRPr="00AD151D" w:rsidTr="00855F85">
        <w:trPr>
          <w:trHeight w:val="205"/>
        </w:trPr>
        <w:tc>
          <w:tcPr>
            <w:tcW w:w="583" w:type="dxa"/>
            <w:noWrap/>
            <w:vAlign w:val="bottom"/>
          </w:tcPr>
          <w:p w:rsidR="00AE7D50" w:rsidRPr="00AD151D" w:rsidRDefault="00AE7D50">
            <w:pPr>
              <w:keepNext/>
              <w:keepLines/>
              <w:jc w:val="right"/>
              <w:rPr>
                <w:sz w:val="20"/>
                <w:szCs w:val="20"/>
              </w:rPr>
            </w:pPr>
            <w:r w:rsidRPr="00AD151D">
              <w:rPr>
                <w:sz w:val="20"/>
                <w:szCs w:val="20"/>
              </w:rPr>
              <w:t>5</w:t>
            </w:r>
          </w:p>
        </w:tc>
        <w:tc>
          <w:tcPr>
            <w:tcW w:w="3101" w:type="dxa"/>
          </w:tcPr>
          <w:p w:rsidR="00AE7D50" w:rsidRPr="00AD151D" w:rsidRDefault="00AE7D50">
            <w:pPr>
              <w:keepNext/>
              <w:keepLines/>
              <w:rPr>
                <w:b/>
                <w:bCs/>
                <w:sz w:val="18"/>
                <w:szCs w:val="18"/>
              </w:rPr>
            </w:pPr>
            <w:r w:rsidRPr="00AD151D">
              <w:rPr>
                <w:b/>
                <w:bCs/>
                <w:sz w:val="18"/>
                <w:szCs w:val="18"/>
              </w:rPr>
              <w:t>Percentage used of allocated (line 4/Line 1)</w:t>
            </w:r>
          </w:p>
        </w:tc>
        <w:tc>
          <w:tcPr>
            <w:tcW w:w="880" w:type="dxa"/>
            <w:vAlign w:val="center"/>
          </w:tcPr>
          <w:p w:rsidR="00AE7D50" w:rsidRPr="00AD151D" w:rsidRDefault="00AE7D50" w:rsidP="00C83B76">
            <w:pPr>
              <w:spacing w:before="60" w:after="60"/>
              <w:jc w:val="center"/>
              <w:rPr>
                <w:sz w:val="18"/>
                <w:szCs w:val="18"/>
              </w:rPr>
            </w:pPr>
            <w:r w:rsidRPr="00AD151D">
              <w:rPr>
                <w:sz w:val="18"/>
                <w:szCs w:val="18"/>
              </w:rPr>
              <w:t>40%</w:t>
            </w:r>
          </w:p>
        </w:tc>
        <w:tc>
          <w:tcPr>
            <w:tcW w:w="881" w:type="dxa"/>
            <w:vAlign w:val="center"/>
          </w:tcPr>
          <w:p w:rsidR="00AE7D50" w:rsidRPr="00AD151D" w:rsidRDefault="00AE7D50" w:rsidP="00C83B76">
            <w:pPr>
              <w:spacing w:before="60" w:after="60"/>
              <w:jc w:val="center"/>
              <w:rPr>
                <w:sz w:val="18"/>
                <w:szCs w:val="18"/>
              </w:rPr>
            </w:pPr>
            <w:r w:rsidRPr="00AD151D">
              <w:rPr>
                <w:sz w:val="18"/>
                <w:szCs w:val="18"/>
              </w:rPr>
              <w:t>43%</w:t>
            </w:r>
          </w:p>
        </w:tc>
        <w:tc>
          <w:tcPr>
            <w:tcW w:w="881" w:type="dxa"/>
            <w:vAlign w:val="center"/>
          </w:tcPr>
          <w:p w:rsidR="00AE7D50" w:rsidRPr="00AD151D" w:rsidRDefault="00AE7D50" w:rsidP="00C83B76">
            <w:pPr>
              <w:spacing w:before="60" w:after="60"/>
              <w:jc w:val="center"/>
              <w:rPr>
                <w:sz w:val="18"/>
                <w:szCs w:val="18"/>
              </w:rPr>
            </w:pPr>
            <w:r w:rsidRPr="00AD151D">
              <w:rPr>
                <w:sz w:val="18"/>
                <w:szCs w:val="18"/>
              </w:rPr>
              <w:t>57%</w:t>
            </w:r>
          </w:p>
        </w:tc>
        <w:tc>
          <w:tcPr>
            <w:tcW w:w="891" w:type="dxa"/>
            <w:vAlign w:val="center"/>
          </w:tcPr>
          <w:p w:rsidR="00AE7D50" w:rsidRPr="00AD151D" w:rsidRDefault="00AE7D50" w:rsidP="00C83B76">
            <w:pPr>
              <w:spacing w:before="60" w:after="60"/>
              <w:jc w:val="center"/>
              <w:rPr>
                <w:sz w:val="18"/>
                <w:szCs w:val="18"/>
              </w:rPr>
            </w:pPr>
            <w:r w:rsidRPr="00AD151D">
              <w:rPr>
                <w:sz w:val="18"/>
                <w:szCs w:val="18"/>
              </w:rPr>
              <w:t>69%</w:t>
            </w:r>
          </w:p>
        </w:tc>
        <w:tc>
          <w:tcPr>
            <w:tcW w:w="1078" w:type="dxa"/>
            <w:vAlign w:val="center"/>
          </w:tcPr>
          <w:p w:rsidR="00AE7D50" w:rsidRPr="00AD151D" w:rsidRDefault="00AE7D50" w:rsidP="00C83B76">
            <w:pPr>
              <w:spacing w:before="60" w:after="60"/>
              <w:jc w:val="center"/>
              <w:rPr>
                <w:sz w:val="18"/>
                <w:szCs w:val="18"/>
              </w:rPr>
            </w:pPr>
            <w:r w:rsidRPr="00AD151D">
              <w:rPr>
                <w:sz w:val="18"/>
                <w:szCs w:val="18"/>
              </w:rPr>
              <w:t>62%</w:t>
            </w:r>
          </w:p>
        </w:tc>
      </w:tr>
    </w:tbl>
    <w:p w:rsidR="00AE7D50" w:rsidRPr="00AD151D" w:rsidRDefault="00AE7D50">
      <w:pPr>
        <w:keepNext/>
        <w:keepLines/>
        <w:rPr>
          <w:sz w:val="18"/>
          <w:szCs w:val="18"/>
        </w:rPr>
      </w:pPr>
      <w:r w:rsidRPr="00AD151D">
        <w:rPr>
          <w:sz w:val="18"/>
          <w:szCs w:val="18"/>
        </w:rPr>
        <w:t>Source: Import Allocation information posted on the CAISO website as well as aggregate RA filing information</w:t>
      </w:r>
    </w:p>
    <w:p w:rsidR="00AE7D50" w:rsidRPr="00AD151D" w:rsidRDefault="00AE7D50">
      <w:pPr>
        <w:pStyle w:val="Heading1"/>
        <w:numPr>
          <w:ilvl w:val="0"/>
          <w:numId w:val="18"/>
        </w:numPr>
      </w:pPr>
      <w:bookmarkStart w:id="97" w:name="_Toc223253259"/>
      <w:bookmarkStart w:id="98" w:name="_Toc223315671"/>
      <w:bookmarkStart w:id="99" w:name="_Toc224022445"/>
      <w:bookmarkStart w:id="100" w:name="_Toc258573776"/>
      <w:bookmarkStart w:id="101" w:name="_Toc347827055"/>
      <w:r w:rsidRPr="00AD151D">
        <w:t>Commitment, Dispatch, and Pricing of RA Resources</w:t>
      </w:r>
      <w:bookmarkEnd w:id="101"/>
    </w:p>
    <w:p w:rsidR="00AE7D50" w:rsidRPr="00AD151D" w:rsidRDefault="00AE7D50">
      <w:pPr>
        <w:spacing w:before="120"/>
        <w:ind w:firstLine="432"/>
      </w:pPr>
      <w:r w:rsidRPr="00AD151D">
        <w:t xml:space="preserve">Since the implementation of MRTU, the mechanism of CAISO commitment has changed significantly.  Whereas before, CAISO would issue a must offer waiver denial, now the CAISO utilizes </w:t>
      </w:r>
      <w:r w:rsidR="00BB3463">
        <w:t>market commitment</w:t>
      </w:r>
      <w:r w:rsidRPr="00AD151D">
        <w:t xml:space="preserve"> mechanisms, such as </w:t>
      </w:r>
      <w:r w:rsidR="00D92824">
        <w:t>Day Ahead, Real Time Market</w:t>
      </w:r>
      <w:r w:rsidR="00BB3463">
        <w:t xml:space="preserve">, </w:t>
      </w:r>
      <w:r w:rsidR="00D92824">
        <w:t xml:space="preserve">and </w:t>
      </w:r>
      <w:r w:rsidR="00BB3463">
        <w:t xml:space="preserve">Residual Unit Commitment (RUC).  </w:t>
      </w:r>
      <w:r w:rsidR="00B07EDA">
        <w:t>During 2011, t</w:t>
      </w:r>
      <w:r w:rsidRPr="00AD151D">
        <w:t>he CAISO</w:t>
      </w:r>
      <w:r w:rsidR="00BB3463">
        <w:t xml:space="preserve"> also </w:t>
      </w:r>
      <w:r w:rsidR="00B414BC">
        <w:t>relie</w:t>
      </w:r>
      <w:r w:rsidR="00B07EDA">
        <w:t>d</w:t>
      </w:r>
      <w:r w:rsidR="00BB3463">
        <w:t xml:space="preserve"> on out-of-market</w:t>
      </w:r>
      <w:r w:rsidRPr="00AD151D">
        <w:t xml:space="preserve"> commitments </w:t>
      </w:r>
      <w:r w:rsidR="00BB3463">
        <w:t xml:space="preserve">(e.g. </w:t>
      </w:r>
      <w:r w:rsidR="00BB3463" w:rsidRPr="00AD151D">
        <w:t>ExD, Interim Capacity Procurement Mechanism (ICPM) and Reliability Must Run (RMR) contracts</w:t>
      </w:r>
      <w:r w:rsidR="00BB3463">
        <w:t>), which</w:t>
      </w:r>
      <w:r w:rsidR="00BB3463" w:rsidRPr="00AD151D">
        <w:t xml:space="preserve"> </w:t>
      </w:r>
      <w:r w:rsidRPr="00AD151D">
        <w:t>illustrate</w:t>
      </w:r>
      <w:r w:rsidR="00B07EDA">
        <w:t>d</w:t>
      </w:r>
      <w:r w:rsidRPr="00AD151D">
        <w:t xml:space="preserve"> reliability needs that </w:t>
      </w:r>
      <w:r w:rsidR="00B07EDA">
        <w:t>could not</w:t>
      </w:r>
      <w:r w:rsidRPr="00AD151D">
        <w:t xml:space="preserve"> be satisfied by </w:t>
      </w:r>
      <w:r w:rsidR="00BB3463">
        <w:t xml:space="preserve">the  Day Ahead, Real Time and RUC </w:t>
      </w:r>
      <w:r w:rsidRPr="00AD151D">
        <w:t xml:space="preserve">market mechanisms.  </w:t>
      </w:r>
      <w:r w:rsidR="00703C2C">
        <w:lastRenderedPageBreak/>
        <w:t>O</w:t>
      </w:r>
      <w:r w:rsidRPr="00AD151D">
        <w:t>ut</w:t>
      </w:r>
      <w:r w:rsidR="00703C2C">
        <w:t>-</w:t>
      </w:r>
      <w:r w:rsidRPr="00AD151D">
        <w:t>of</w:t>
      </w:r>
      <w:r w:rsidR="00703C2C">
        <w:t>-</w:t>
      </w:r>
      <w:r w:rsidRPr="00AD151D">
        <w:t xml:space="preserve">market commitments declined substantially since before MRTU, </w:t>
      </w:r>
      <w:r w:rsidR="00703C2C">
        <w:t xml:space="preserve">as well as </w:t>
      </w:r>
      <w:r w:rsidRPr="00AD151D">
        <w:t xml:space="preserve"> since the implementation of MRTU.  </w:t>
      </w:r>
    </w:p>
    <w:p w:rsidR="00AE7D50" w:rsidRPr="00AD151D" w:rsidRDefault="00703C2C">
      <w:pPr>
        <w:spacing w:before="120"/>
        <w:ind w:firstLine="432"/>
      </w:pPr>
      <w:r>
        <w:t xml:space="preserve">The RA program requires </w:t>
      </w:r>
      <w:r w:rsidR="00AE7D50" w:rsidRPr="00AD151D">
        <w:t xml:space="preserve">LSEs </w:t>
      </w:r>
      <w:r>
        <w:t xml:space="preserve">to enter into </w:t>
      </w:r>
      <w:r w:rsidR="00AE7D50" w:rsidRPr="00AD151D">
        <w:t>bilateral contracts with generating facilities</w:t>
      </w:r>
      <w:r>
        <w:t xml:space="preserve">.  These contracts carry a must offer obligation in order to meet the RA </w:t>
      </w:r>
      <w:r w:rsidR="00B414BC">
        <w:t>obligation</w:t>
      </w:r>
      <w:r>
        <w:t xml:space="preserve">.  The must offer obligation requires that these resources </w:t>
      </w:r>
      <w:r w:rsidR="00AE7D50" w:rsidRPr="00AD151D">
        <w:t xml:space="preserve">submit </w:t>
      </w:r>
      <w:r>
        <w:t xml:space="preserve">self-schedules or bids into the CAISO markets that make these </w:t>
      </w:r>
      <w:r w:rsidR="00B414BC">
        <w:t>resources</w:t>
      </w:r>
      <w:r>
        <w:t xml:space="preserve"> available for dispatch. P</w:t>
      </w:r>
      <w:r w:rsidR="00AE7D50" w:rsidRPr="00AD151D">
        <w:t>rice</w:t>
      </w:r>
      <w:r>
        <w:t>s</w:t>
      </w:r>
      <w:r w:rsidR="00AE7D50" w:rsidRPr="00AD151D">
        <w:t xml:space="preserve"> of  bilateral contracts c</w:t>
      </w:r>
      <w:r>
        <w:t>ould</w:t>
      </w:r>
      <w:r w:rsidR="00AE7D50" w:rsidRPr="00AD151D">
        <w:t xml:space="preserve"> vary substantially </w:t>
      </w:r>
      <w:r>
        <w:t xml:space="preserve">depending on unit location, </w:t>
      </w:r>
      <w:r w:rsidR="00AE7D50" w:rsidRPr="00AD151D">
        <w:t xml:space="preserve"> transmission constrain</w:t>
      </w:r>
      <w:r>
        <w:t>ts and/</w:t>
      </w:r>
      <w:r w:rsidR="00AE7D50" w:rsidRPr="00AD151D">
        <w:t>or the unit</w:t>
      </w:r>
      <w:r>
        <w:t>’s</w:t>
      </w:r>
      <w:r w:rsidR="00AE7D50" w:rsidRPr="00AD151D">
        <w:t xml:space="preserve"> ab</w:t>
      </w:r>
      <w:r>
        <w:t>i</w:t>
      </w:r>
      <w:r w:rsidR="00AE7D50" w:rsidRPr="00AD151D">
        <w:t>l</w:t>
      </w:r>
      <w:r>
        <w:t>ity</w:t>
      </w:r>
      <w:r w:rsidR="00AE7D50" w:rsidRPr="00AD151D">
        <w:t xml:space="preserve"> to exercise market power.</w:t>
      </w:r>
    </w:p>
    <w:p w:rsidR="00AE7D50" w:rsidRPr="00277DC8" w:rsidRDefault="00AE7D50">
      <w:pPr>
        <w:pStyle w:val="Heading2"/>
        <w:numPr>
          <w:ilvl w:val="1"/>
          <w:numId w:val="18"/>
        </w:numPr>
        <w:spacing w:before="120"/>
        <w:rPr>
          <w:i w:val="0"/>
        </w:rPr>
      </w:pPr>
      <w:bookmarkStart w:id="102" w:name="_Toc347827056"/>
      <w:r w:rsidRPr="00277DC8">
        <w:rPr>
          <w:i w:val="0"/>
        </w:rPr>
        <w:t xml:space="preserve">Trends in </w:t>
      </w:r>
      <w:r w:rsidR="00A01172" w:rsidRPr="00277DC8">
        <w:rPr>
          <w:i w:val="0"/>
        </w:rPr>
        <w:t>Exceptional Dispatch by MWh volume</w:t>
      </w:r>
      <w:bookmarkEnd w:id="102"/>
      <w:r w:rsidRPr="00277DC8">
        <w:rPr>
          <w:i w:val="0"/>
        </w:rPr>
        <w:t xml:space="preserve"> </w:t>
      </w:r>
    </w:p>
    <w:p w:rsidR="00AE7D50" w:rsidRPr="00AD151D" w:rsidRDefault="00AE7D50">
      <w:pPr>
        <w:spacing w:before="120"/>
        <w:ind w:firstLine="576"/>
      </w:pPr>
      <w:r w:rsidRPr="00AD151D">
        <w:t>Since the implementation of MRTU in April 2009, the CAISO has managed a Day Ahead (DA</w:t>
      </w:r>
      <w:r w:rsidR="00703C2C">
        <w:t>M</w:t>
      </w:r>
      <w:r w:rsidRPr="00AD151D">
        <w:t xml:space="preserve">) and </w:t>
      </w:r>
      <w:r w:rsidR="00703C2C">
        <w:t>R</w:t>
      </w:r>
      <w:r w:rsidRPr="00AD151D">
        <w:t xml:space="preserve">eal </w:t>
      </w:r>
      <w:r w:rsidR="00703C2C">
        <w:t>T</w:t>
      </w:r>
      <w:r w:rsidRPr="00AD151D">
        <w:t xml:space="preserve">ime </w:t>
      </w:r>
      <w:r w:rsidR="00703C2C">
        <w:t xml:space="preserve">(RTM) </w:t>
      </w:r>
      <w:r w:rsidRPr="00AD151D">
        <w:t xml:space="preserve">market.  These markets attempt to produce optimized results, but there are sometimes reasons for the CAISO to commit resources outside of </w:t>
      </w:r>
      <w:r w:rsidR="00420594">
        <w:t xml:space="preserve">these </w:t>
      </w:r>
      <w:r w:rsidRPr="00AD151D">
        <w:t>market</w:t>
      </w:r>
      <w:r w:rsidR="00420594">
        <w:t>s</w:t>
      </w:r>
      <w:r w:rsidRPr="00AD151D">
        <w:t xml:space="preserve">.  </w:t>
      </w:r>
      <w:r w:rsidR="00420594">
        <w:t xml:space="preserve"> </w:t>
      </w:r>
      <w:r w:rsidRPr="00AD151D">
        <w:t xml:space="preserve">ExD </w:t>
      </w:r>
      <w:r w:rsidR="00420594">
        <w:t xml:space="preserve">usually </w:t>
      </w:r>
      <w:r w:rsidRPr="00AD151D">
        <w:t>is where individual resources are managed manually or via dispatch instructions not arising directly from market</w:t>
      </w:r>
      <w:r w:rsidR="00D92824">
        <w:t xml:space="preserve"> dispatch</w:t>
      </w:r>
      <w:r w:rsidRPr="00AD151D">
        <w:t>.  An examination of the DA</w:t>
      </w:r>
      <w:r w:rsidR="00420594">
        <w:t>M</w:t>
      </w:r>
      <w:r w:rsidRPr="00AD151D">
        <w:t xml:space="preserve"> and RT</w:t>
      </w:r>
      <w:r w:rsidR="00420594">
        <w:t>M</w:t>
      </w:r>
      <w:r w:rsidRPr="00AD151D">
        <w:t xml:space="preserve"> is included in CAISO Annual and Monthly Market Performance Reports</w:t>
      </w:r>
      <w:r w:rsidRPr="00AD151D">
        <w:rPr>
          <w:rStyle w:val="FootnoteReference"/>
        </w:rPr>
        <w:footnoteReference w:id="29"/>
      </w:r>
      <w:r w:rsidR="00420594">
        <w:t xml:space="preserve">. </w:t>
      </w:r>
      <w:r w:rsidRPr="00AD151D">
        <w:t>Energy Division also conducts analysis of ExD</w:t>
      </w:r>
      <w:r w:rsidR="00420594">
        <w:t xml:space="preserve"> based on CAISO published data</w:t>
      </w:r>
      <w:r w:rsidRPr="00AD151D">
        <w:t>.  Included in this section is analysis of ExD in the DA market to highlight trends in MW</w:t>
      </w:r>
      <w:r w:rsidR="0030217F" w:rsidRPr="00AD151D">
        <w:t>h</w:t>
      </w:r>
      <w:r w:rsidRPr="00AD151D">
        <w:t xml:space="preserve"> volume across Local Area</w:t>
      </w:r>
      <w:r w:rsidR="00420594">
        <w:t>, by</w:t>
      </w:r>
      <w:r w:rsidR="0030217F" w:rsidRPr="00AD151D">
        <w:t xml:space="preserve"> </w:t>
      </w:r>
      <w:r w:rsidRPr="00AD151D">
        <w:t xml:space="preserve">reason code, </w:t>
      </w:r>
      <w:r w:rsidR="00420594">
        <w:t xml:space="preserve">and </w:t>
      </w:r>
      <w:r w:rsidR="0030217F" w:rsidRPr="00AD151D">
        <w:t>across months of 2010 and 2011.</w:t>
      </w:r>
      <w:r w:rsidRPr="00AD151D">
        <w:t xml:space="preserve">  </w:t>
      </w:r>
    </w:p>
    <w:p w:rsidR="00A9171A" w:rsidRPr="00AD151D" w:rsidRDefault="00AE7D50" w:rsidP="0030217F">
      <w:pPr>
        <w:spacing w:before="120"/>
        <w:ind w:firstLine="576"/>
      </w:pPr>
      <w:r w:rsidRPr="00AD151D">
        <w:t xml:space="preserve">Energy Division staff took data </w:t>
      </w:r>
      <w:r w:rsidR="0030217F" w:rsidRPr="00AD151D">
        <w:t xml:space="preserve">from the </w:t>
      </w:r>
      <w:r w:rsidR="00DF536B">
        <w:t>ExD</w:t>
      </w:r>
      <w:r w:rsidR="0030217F" w:rsidRPr="00AD151D">
        <w:t xml:space="preserve"> reports posted to the CAISO website</w:t>
      </w:r>
      <w:r w:rsidRPr="00AD151D">
        <w:t>.</w:t>
      </w:r>
      <w:r w:rsidR="0030217F" w:rsidRPr="00AD151D">
        <w:rPr>
          <w:rStyle w:val="FootnoteReference"/>
        </w:rPr>
        <w:footnoteReference w:id="30"/>
      </w:r>
      <w:r w:rsidRPr="00AD151D">
        <w:t xml:space="preserve">  </w:t>
      </w:r>
      <w:r w:rsidR="0030217F" w:rsidRPr="00AD151D">
        <w:t xml:space="preserve">With this information, </w:t>
      </w:r>
      <w:r w:rsidRPr="00AD151D">
        <w:t xml:space="preserve">Energy Division staff </w:t>
      </w:r>
      <w:r w:rsidR="0030217F" w:rsidRPr="00AD151D">
        <w:t xml:space="preserve">aggregated ExD across a set of categories and summed by month and year across causes and Local Areas.  CPM and RMR designations are not included in this analysis, although ExD is the </w:t>
      </w:r>
      <w:r w:rsidR="00420594">
        <w:t xml:space="preserve">triggering </w:t>
      </w:r>
      <w:r w:rsidR="0030217F" w:rsidRPr="00AD151D">
        <w:t xml:space="preserve">mechanism for a CPM designation.  There have not been any CPM designations unrelated to ExD </w:t>
      </w:r>
      <w:r w:rsidR="00D92824">
        <w:t xml:space="preserve">except </w:t>
      </w:r>
      <w:r w:rsidR="00420594">
        <w:t xml:space="preserve">the </w:t>
      </w:r>
      <w:r w:rsidR="0030217F" w:rsidRPr="00AD151D">
        <w:t xml:space="preserve">outage on San Onofre during the middle of 2012.  </w:t>
      </w:r>
      <w:r w:rsidR="00AD0D06" w:rsidRPr="00AD151D">
        <w:t>There will be greater analysis of ExD related to the outage on San Onofre in the 2012 RA report.</w:t>
      </w:r>
      <w:r w:rsidRPr="00AD151D">
        <w:t xml:space="preserve">   </w:t>
      </w:r>
    </w:p>
    <w:p w:rsidR="00A9171A" w:rsidRPr="00AD151D" w:rsidRDefault="00B07EDA" w:rsidP="00F669D6">
      <w:pPr>
        <w:spacing w:before="120" w:after="120"/>
        <w:ind w:firstLine="576"/>
      </w:pPr>
      <w:r>
        <w:fldChar w:fldCharType="begin"/>
      </w:r>
      <w:r>
        <w:instrText xml:space="preserve"> REF _Ref347484504 \h </w:instrText>
      </w:r>
      <w:r>
        <w:fldChar w:fldCharType="separate"/>
      </w:r>
      <w:r w:rsidR="00B3535E" w:rsidRPr="00AD151D">
        <w:t xml:space="preserve">Table </w:t>
      </w:r>
      <w:r w:rsidR="00B3535E">
        <w:rPr>
          <w:noProof/>
        </w:rPr>
        <w:t>11</w:t>
      </w:r>
      <w:r>
        <w:fldChar w:fldCharType="end"/>
      </w:r>
      <w:r w:rsidR="00A9171A" w:rsidRPr="00AD151D">
        <w:t xml:space="preserve">correlates the reasons listed in the CAISO’s ExD reports with the categories Energy Division used for the reason analysis.  These categories in large part overlap with categories the CAISO uses to analyze ExD in the monthly Market Performance reports, although Energy Division breaks </w:t>
      </w:r>
      <w:r w:rsidR="00420594">
        <w:t xml:space="preserve">the information </w:t>
      </w:r>
      <w:r w:rsidR="00A9171A" w:rsidRPr="00AD151D">
        <w:t>down into more categories.  Some</w:t>
      </w:r>
      <w:r w:rsidR="00BB2D00">
        <w:t xml:space="preserve"> Energy Division</w:t>
      </w:r>
      <w:r w:rsidR="00A9171A" w:rsidRPr="00AD151D">
        <w:t xml:space="preserve"> </w:t>
      </w:r>
      <w:r w:rsidR="00420594">
        <w:t xml:space="preserve">categories </w:t>
      </w:r>
      <w:r w:rsidR="00A9171A" w:rsidRPr="00AD151D">
        <w:t>are labeled differently</w:t>
      </w:r>
      <w:r w:rsidR="00BB2D00">
        <w:t xml:space="preserve"> than those used by the CAISO</w:t>
      </w:r>
      <w:r w:rsidR="00A9171A" w:rsidRPr="00AD151D">
        <w:t>,</w:t>
      </w:r>
      <w:r w:rsidR="00420594">
        <w:t xml:space="preserve"> and may</w:t>
      </w:r>
      <w:r w:rsidR="00A9171A" w:rsidRPr="00AD151D">
        <w:t xml:space="preserve"> </w:t>
      </w:r>
      <w:r w:rsidR="00B414BC" w:rsidRPr="00AD151D">
        <w:t>reflect</w:t>
      </w:r>
      <w:r w:rsidR="00A9171A" w:rsidRPr="00AD151D">
        <w:t xml:space="preserve"> a different grouping.  For example, in large part the category called Ramp Rate that the CAISO uses correspond to the Dispatchability category used by Energy Division.  Energy Division uses the term dispatchability to reflect the grouping of ramp rate with other </w:t>
      </w:r>
      <w:r w:rsidR="00431899" w:rsidRPr="00AD151D">
        <w:t>dispatch related reasons.</w:t>
      </w:r>
    </w:p>
    <w:p w:rsidR="00431899" w:rsidRPr="00AD151D" w:rsidRDefault="00431899" w:rsidP="00586B1F">
      <w:pPr>
        <w:pStyle w:val="Caption"/>
        <w:keepNext/>
        <w:keepLines/>
        <w:spacing w:before="120" w:after="120"/>
      </w:pPr>
      <w:bookmarkStart w:id="103" w:name="_Ref347484504"/>
      <w:bookmarkStart w:id="104" w:name="_Toc347827081"/>
      <w:r w:rsidRPr="00AD151D">
        <w:lastRenderedPageBreak/>
        <w:t xml:space="preserve">Table </w:t>
      </w:r>
      <w:r w:rsidR="00B3535E">
        <w:fldChar w:fldCharType="begin"/>
      </w:r>
      <w:r w:rsidR="00B3535E">
        <w:instrText xml:space="preserve"> SEQ Table \* ARABIC </w:instrText>
      </w:r>
      <w:r w:rsidR="00B3535E">
        <w:fldChar w:fldCharType="separate"/>
      </w:r>
      <w:r w:rsidR="00B3535E">
        <w:rPr>
          <w:noProof/>
        </w:rPr>
        <w:t>11</w:t>
      </w:r>
      <w:r w:rsidR="00B3535E">
        <w:rPr>
          <w:noProof/>
        </w:rPr>
        <w:fldChar w:fldCharType="end"/>
      </w:r>
      <w:bookmarkEnd w:id="103"/>
      <w:r w:rsidRPr="00AD151D">
        <w:t xml:space="preserve"> ExD Reason Codes Correlated Into Categories for Analysis</w:t>
      </w:r>
      <w:bookmarkEnd w:id="104"/>
    </w:p>
    <w:tbl>
      <w:tblPr>
        <w:tblW w:w="7500" w:type="dxa"/>
        <w:tblInd w:w="93" w:type="dxa"/>
        <w:tblLook w:val="04A0" w:firstRow="1" w:lastRow="0" w:firstColumn="1" w:lastColumn="0" w:noHBand="0" w:noVBand="1"/>
      </w:tblPr>
      <w:tblGrid>
        <w:gridCol w:w="5020"/>
        <w:gridCol w:w="2480"/>
      </w:tblGrid>
      <w:tr w:rsidR="00A9171A" w:rsidRPr="00AD151D" w:rsidTr="00F669D6">
        <w:trPr>
          <w:trHeight w:val="575"/>
        </w:trPr>
        <w:tc>
          <w:tcPr>
            <w:tcW w:w="5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171A" w:rsidRPr="00AD151D" w:rsidRDefault="00A9171A" w:rsidP="00586B1F">
            <w:pPr>
              <w:keepNext/>
              <w:keepLines/>
              <w:rPr>
                <w:rFonts w:ascii="Calibri" w:hAnsi="Calibri"/>
                <w:b/>
                <w:color w:val="000000"/>
                <w:sz w:val="22"/>
                <w:szCs w:val="22"/>
              </w:rPr>
            </w:pPr>
            <w:r w:rsidRPr="00AD151D">
              <w:rPr>
                <w:rFonts w:ascii="Calibri" w:hAnsi="Calibri"/>
                <w:b/>
                <w:color w:val="000000"/>
                <w:sz w:val="22"/>
                <w:szCs w:val="22"/>
              </w:rPr>
              <w:t>Specific reason in ExD reports</w:t>
            </w:r>
          </w:p>
        </w:tc>
        <w:tc>
          <w:tcPr>
            <w:tcW w:w="2480" w:type="dxa"/>
            <w:tcBorders>
              <w:top w:val="single" w:sz="4" w:space="0" w:color="auto"/>
              <w:left w:val="nil"/>
              <w:bottom w:val="single" w:sz="4" w:space="0" w:color="auto"/>
              <w:right w:val="single" w:sz="4" w:space="0" w:color="auto"/>
            </w:tcBorders>
            <w:shd w:val="clear" w:color="auto" w:fill="auto"/>
            <w:vAlign w:val="bottom"/>
            <w:hideMark/>
          </w:tcPr>
          <w:p w:rsidR="00A9171A" w:rsidRPr="00AD151D" w:rsidRDefault="00A9171A" w:rsidP="00586B1F">
            <w:pPr>
              <w:keepNext/>
              <w:keepLines/>
              <w:rPr>
                <w:rFonts w:ascii="Calibri" w:hAnsi="Calibri"/>
                <w:b/>
                <w:color w:val="000000"/>
                <w:sz w:val="22"/>
                <w:szCs w:val="22"/>
              </w:rPr>
            </w:pPr>
            <w:r w:rsidRPr="00AD151D">
              <w:rPr>
                <w:rFonts w:ascii="Calibri" w:hAnsi="Calibri"/>
                <w:b/>
                <w:color w:val="000000"/>
                <w:sz w:val="22"/>
                <w:szCs w:val="22"/>
              </w:rPr>
              <w:t xml:space="preserve">Energy Division </w:t>
            </w:r>
            <w:r w:rsidR="00C83B76" w:rsidRPr="00AD151D">
              <w:rPr>
                <w:rFonts w:ascii="Calibri" w:hAnsi="Calibri"/>
                <w:b/>
                <w:color w:val="000000"/>
                <w:sz w:val="22"/>
                <w:szCs w:val="22"/>
              </w:rPr>
              <w:t>C</w:t>
            </w:r>
            <w:r w:rsidRPr="00AD151D">
              <w:rPr>
                <w:rFonts w:ascii="Calibri" w:hAnsi="Calibri"/>
                <w:b/>
                <w:color w:val="000000"/>
                <w:sz w:val="22"/>
                <w:szCs w:val="22"/>
              </w:rPr>
              <w:t xml:space="preserve">ategory for </w:t>
            </w:r>
            <w:r w:rsidR="00C83B76" w:rsidRPr="00AD151D">
              <w:rPr>
                <w:rFonts w:ascii="Calibri" w:hAnsi="Calibri"/>
                <w:b/>
                <w:color w:val="000000"/>
                <w:sz w:val="22"/>
                <w:szCs w:val="22"/>
              </w:rPr>
              <w:t>A</w:t>
            </w:r>
            <w:r w:rsidRPr="00AD151D">
              <w:rPr>
                <w:rFonts w:ascii="Calibri" w:hAnsi="Calibri"/>
                <w:b/>
                <w:color w:val="000000"/>
                <w:sz w:val="22"/>
                <w:szCs w:val="22"/>
              </w:rPr>
              <w:t>nalysis</w:t>
            </w:r>
          </w:p>
        </w:tc>
      </w:tr>
      <w:tr w:rsidR="00A9171A" w:rsidRPr="00AD151D" w:rsidTr="00A9171A">
        <w:trPr>
          <w:trHeight w:val="84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A9171A" w:rsidRPr="005E5CC1" w:rsidRDefault="00A9171A" w:rsidP="00586B1F">
            <w:pPr>
              <w:keepNext/>
              <w:keepLines/>
              <w:rPr>
                <w:color w:val="000000"/>
                <w:sz w:val="22"/>
                <w:szCs w:val="22"/>
              </w:rPr>
            </w:pPr>
            <w:r w:rsidRPr="005E5CC1">
              <w:rPr>
                <w:color w:val="000000"/>
                <w:sz w:val="22"/>
                <w:szCs w:val="22"/>
              </w:rPr>
              <w:t xml:space="preserve">Failed </w:t>
            </w:r>
            <w:r w:rsidR="00601290">
              <w:rPr>
                <w:color w:val="000000"/>
                <w:sz w:val="22"/>
                <w:szCs w:val="22"/>
              </w:rPr>
              <w:t>t</w:t>
            </w:r>
            <w:r w:rsidRPr="005E5CC1">
              <w:rPr>
                <w:color w:val="000000"/>
                <w:sz w:val="22"/>
                <w:szCs w:val="22"/>
              </w:rPr>
              <w:t>elemetry, Telemetry error, software limitation, software error, software issue, bad transition, bridging schedules, suspect modeling issue</w:t>
            </w:r>
          </w:p>
        </w:tc>
        <w:tc>
          <w:tcPr>
            <w:tcW w:w="2480" w:type="dxa"/>
            <w:tcBorders>
              <w:top w:val="nil"/>
              <w:left w:val="nil"/>
              <w:bottom w:val="single" w:sz="4" w:space="0" w:color="auto"/>
              <w:right w:val="single" w:sz="4" w:space="0" w:color="auto"/>
            </w:tcBorders>
            <w:shd w:val="clear" w:color="auto" w:fill="auto"/>
            <w:vAlign w:val="bottom"/>
            <w:hideMark/>
          </w:tcPr>
          <w:p w:rsidR="00A9171A" w:rsidRPr="005E5CC1" w:rsidRDefault="00A9171A" w:rsidP="00586B1F">
            <w:pPr>
              <w:keepNext/>
              <w:keepLines/>
              <w:spacing w:after="120"/>
              <w:rPr>
                <w:color w:val="000000"/>
                <w:sz w:val="22"/>
                <w:szCs w:val="22"/>
              </w:rPr>
            </w:pPr>
            <w:r w:rsidRPr="005E5CC1">
              <w:rPr>
                <w:color w:val="000000"/>
                <w:sz w:val="22"/>
                <w:szCs w:val="22"/>
              </w:rPr>
              <w:t>Software Limitation</w:t>
            </w:r>
          </w:p>
        </w:tc>
      </w:tr>
      <w:tr w:rsidR="00A9171A" w:rsidRPr="00AD151D" w:rsidTr="00A9171A">
        <w:trPr>
          <w:trHeight w:val="60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A9171A" w:rsidRPr="005E5CC1" w:rsidRDefault="00A9171A" w:rsidP="00586B1F">
            <w:pPr>
              <w:keepNext/>
              <w:keepLines/>
              <w:rPr>
                <w:color w:val="000000"/>
                <w:sz w:val="22"/>
                <w:szCs w:val="22"/>
              </w:rPr>
            </w:pPr>
            <w:r w:rsidRPr="005E5CC1">
              <w:rPr>
                <w:color w:val="000000"/>
                <w:sz w:val="22"/>
                <w:szCs w:val="22"/>
              </w:rPr>
              <w:t>Dispatch</w:t>
            </w:r>
            <w:r w:rsidR="00E657F3" w:rsidRPr="005E5CC1">
              <w:rPr>
                <w:color w:val="000000"/>
                <w:sz w:val="22"/>
                <w:szCs w:val="22"/>
              </w:rPr>
              <w:t>ability</w:t>
            </w:r>
            <w:r w:rsidRPr="005E5CC1">
              <w:rPr>
                <w:color w:val="000000"/>
                <w:sz w:val="22"/>
                <w:szCs w:val="22"/>
              </w:rPr>
              <w:t xml:space="preserve">, </w:t>
            </w:r>
            <w:r w:rsidR="00E657F3" w:rsidRPr="005E5CC1">
              <w:rPr>
                <w:color w:val="000000"/>
                <w:sz w:val="22"/>
                <w:szCs w:val="22"/>
              </w:rPr>
              <w:t>Dispatchable</w:t>
            </w:r>
            <w:r w:rsidRPr="005E5CC1">
              <w:rPr>
                <w:color w:val="000000"/>
                <w:sz w:val="22"/>
                <w:szCs w:val="22"/>
              </w:rPr>
              <w:t>, ramp rate, Unit Control, Dispatch Modification</w:t>
            </w:r>
          </w:p>
        </w:tc>
        <w:tc>
          <w:tcPr>
            <w:tcW w:w="2480" w:type="dxa"/>
            <w:tcBorders>
              <w:top w:val="nil"/>
              <w:left w:val="nil"/>
              <w:bottom w:val="single" w:sz="4" w:space="0" w:color="auto"/>
              <w:right w:val="single" w:sz="4" w:space="0" w:color="auto"/>
            </w:tcBorders>
            <w:shd w:val="clear" w:color="auto" w:fill="auto"/>
            <w:vAlign w:val="bottom"/>
            <w:hideMark/>
          </w:tcPr>
          <w:p w:rsidR="00A9171A" w:rsidRPr="005E5CC1" w:rsidRDefault="00A9171A" w:rsidP="00586B1F">
            <w:pPr>
              <w:keepNext/>
              <w:keepLines/>
              <w:spacing w:after="120"/>
              <w:rPr>
                <w:color w:val="000000"/>
                <w:sz w:val="22"/>
                <w:szCs w:val="22"/>
              </w:rPr>
            </w:pPr>
            <w:r w:rsidRPr="005E5CC1">
              <w:rPr>
                <w:color w:val="000000"/>
                <w:sz w:val="22"/>
                <w:szCs w:val="22"/>
              </w:rPr>
              <w:t>Dispatchability</w:t>
            </w:r>
          </w:p>
        </w:tc>
      </w:tr>
      <w:tr w:rsidR="00A9171A" w:rsidRPr="00AD151D" w:rsidTr="00A9171A">
        <w:trPr>
          <w:trHeight w:val="60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A9171A" w:rsidRPr="005E5CC1" w:rsidRDefault="00A9171A" w:rsidP="00586B1F">
            <w:pPr>
              <w:keepNext/>
              <w:keepLines/>
              <w:rPr>
                <w:color w:val="000000"/>
                <w:sz w:val="22"/>
                <w:szCs w:val="22"/>
              </w:rPr>
            </w:pPr>
            <w:r w:rsidRPr="005E5CC1">
              <w:rPr>
                <w:color w:val="000000"/>
                <w:sz w:val="22"/>
                <w:szCs w:val="22"/>
              </w:rPr>
              <w:t>Load forecast uncertainty, forecast error, forecast margin uncertainty</w:t>
            </w:r>
          </w:p>
        </w:tc>
        <w:tc>
          <w:tcPr>
            <w:tcW w:w="2480" w:type="dxa"/>
            <w:tcBorders>
              <w:top w:val="nil"/>
              <w:left w:val="nil"/>
              <w:bottom w:val="single" w:sz="4" w:space="0" w:color="auto"/>
              <w:right w:val="single" w:sz="4" w:space="0" w:color="auto"/>
            </w:tcBorders>
            <w:shd w:val="clear" w:color="auto" w:fill="auto"/>
            <w:vAlign w:val="bottom"/>
            <w:hideMark/>
          </w:tcPr>
          <w:p w:rsidR="00A9171A" w:rsidRPr="005E5CC1" w:rsidRDefault="00A9171A" w:rsidP="00586B1F">
            <w:pPr>
              <w:keepNext/>
              <w:keepLines/>
              <w:spacing w:after="120"/>
              <w:rPr>
                <w:color w:val="000000"/>
                <w:sz w:val="22"/>
                <w:szCs w:val="22"/>
              </w:rPr>
            </w:pPr>
            <w:r w:rsidRPr="005E5CC1">
              <w:rPr>
                <w:color w:val="000000"/>
                <w:sz w:val="22"/>
                <w:szCs w:val="22"/>
              </w:rPr>
              <w:t>Forecast uncertainty</w:t>
            </w:r>
          </w:p>
        </w:tc>
      </w:tr>
      <w:tr w:rsidR="00A9171A" w:rsidRPr="00AD151D" w:rsidTr="00A9171A">
        <w:trPr>
          <w:trHeight w:val="30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A9171A" w:rsidRPr="005E5CC1" w:rsidRDefault="00A9171A" w:rsidP="00586B1F">
            <w:pPr>
              <w:keepNext/>
              <w:keepLines/>
              <w:rPr>
                <w:color w:val="000000"/>
                <w:sz w:val="22"/>
                <w:szCs w:val="22"/>
              </w:rPr>
            </w:pPr>
            <w:r w:rsidRPr="005E5CC1">
              <w:rPr>
                <w:color w:val="000000"/>
                <w:sz w:val="22"/>
                <w:szCs w:val="22"/>
              </w:rPr>
              <w:t>All T codes</w:t>
            </w:r>
          </w:p>
        </w:tc>
        <w:tc>
          <w:tcPr>
            <w:tcW w:w="2480" w:type="dxa"/>
            <w:tcBorders>
              <w:top w:val="nil"/>
              <w:left w:val="nil"/>
              <w:bottom w:val="single" w:sz="4" w:space="0" w:color="auto"/>
              <w:right w:val="single" w:sz="4" w:space="0" w:color="auto"/>
            </w:tcBorders>
            <w:shd w:val="clear" w:color="auto" w:fill="auto"/>
            <w:vAlign w:val="bottom"/>
            <w:hideMark/>
          </w:tcPr>
          <w:p w:rsidR="00A9171A" w:rsidRPr="005E5CC1" w:rsidRDefault="00A9171A" w:rsidP="00586B1F">
            <w:pPr>
              <w:keepNext/>
              <w:keepLines/>
              <w:spacing w:after="120"/>
              <w:rPr>
                <w:color w:val="000000"/>
                <w:sz w:val="22"/>
                <w:szCs w:val="22"/>
              </w:rPr>
            </w:pPr>
            <w:r w:rsidRPr="005E5CC1">
              <w:rPr>
                <w:color w:val="000000"/>
                <w:sz w:val="22"/>
                <w:szCs w:val="22"/>
              </w:rPr>
              <w:t>Transmission procedure</w:t>
            </w:r>
          </w:p>
        </w:tc>
      </w:tr>
      <w:tr w:rsidR="00A9171A" w:rsidRPr="00AD151D" w:rsidTr="00A9171A">
        <w:trPr>
          <w:trHeight w:val="30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A9171A" w:rsidRPr="005E5CC1" w:rsidRDefault="00A9171A" w:rsidP="00586B1F">
            <w:pPr>
              <w:keepNext/>
              <w:keepLines/>
              <w:rPr>
                <w:color w:val="000000"/>
                <w:sz w:val="22"/>
                <w:szCs w:val="22"/>
              </w:rPr>
            </w:pPr>
            <w:r w:rsidRPr="005E5CC1">
              <w:rPr>
                <w:color w:val="000000"/>
                <w:sz w:val="22"/>
                <w:szCs w:val="22"/>
              </w:rPr>
              <w:t>All G codes</w:t>
            </w:r>
          </w:p>
        </w:tc>
        <w:tc>
          <w:tcPr>
            <w:tcW w:w="2480" w:type="dxa"/>
            <w:tcBorders>
              <w:top w:val="nil"/>
              <w:left w:val="nil"/>
              <w:bottom w:val="single" w:sz="4" w:space="0" w:color="auto"/>
              <w:right w:val="single" w:sz="4" w:space="0" w:color="auto"/>
            </w:tcBorders>
            <w:shd w:val="clear" w:color="auto" w:fill="auto"/>
            <w:vAlign w:val="bottom"/>
            <w:hideMark/>
          </w:tcPr>
          <w:p w:rsidR="00A9171A" w:rsidRPr="005E5CC1" w:rsidRDefault="00A9171A" w:rsidP="00586B1F">
            <w:pPr>
              <w:keepNext/>
              <w:keepLines/>
              <w:spacing w:after="120"/>
              <w:rPr>
                <w:color w:val="000000"/>
                <w:sz w:val="22"/>
                <w:szCs w:val="22"/>
              </w:rPr>
            </w:pPr>
            <w:r w:rsidRPr="005E5CC1">
              <w:rPr>
                <w:color w:val="000000"/>
                <w:sz w:val="22"/>
                <w:szCs w:val="22"/>
              </w:rPr>
              <w:t>Generation procedure</w:t>
            </w:r>
          </w:p>
        </w:tc>
      </w:tr>
      <w:tr w:rsidR="00A9171A" w:rsidRPr="00AD151D" w:rsidTr="00A9171A">
        <w:trPr>
          <w:trHeight w:val="1133"/>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A9171A" w:rsidRPr="005E5CC1" w:rsidRDefault="00A9171A" w:rsidP="00586B1F">
            <w:pPr>
              <w:keepNext/>
              <w:keepLines/>
              <w:rPr>
                <w:color w:val="000000"/>
                <w:sz w:val="22"/>
                <w:szCs w:val="22"/>
              </w:rPr>
            </w:pPr>
            <w:r w:rsidRPr="005E5CC1">
              <w:rPr>
                <w:color w:val="000000"/>
                <w:sz w:val="22"/>
                <w:szCs w:val="22"/>
              </w:rPr>
              <w:t>COI Limitation, COI Mitigation, COI overload, PACI Scheduling Rights, all Path Mitigation, Congestion Mitigation, DC Circulation. SP26 mitigation, Intertie Block, Thermal Margin</w:t>
            </w:r>
          </w:p>
        </w:tc>
        <w:tc>
          <w:tcPr>
            <w:tcW w:w="2480" w:type="dxa"/>
            <w:tcBorders>
              <w:top w:val="nil"/>
              <w:left w:val="nil"/>
              <w:bottom w:val="single" w:sz="4" w:space="0" w:color="auto"/>
              <w:right w:val="single" w:sz="4" w:space="0" w:color="auto"/>
            </w:tcBorders>
            <w:shd w:val="clear" w:color="auto" w:fill="auto"/>
            <w:vAlign w:val="bottom"/>
            <w:hideMark/>
          </w:tcPr>
          <w:p w:rsidR="00A9171A" w:rsidRPr="005E5CC1" w:rsidRDefault="00A9171A" w:rsidP="00586B1F">
            <w:pPr>
              <w:keepNext/>
              <w:keepLines/>
              <w:spacing w:after="120"/>
              <w:rPr>
                <w:color w:val="000000"/>
                <w:sz w:val="22"/>
                <w:szCs w:val="22"/>
              </w:rPr>
            </w:pPr>
            <w:r w:rsidRPr="005E5CC1">
              <w:rPr>
                <w:color w:val="000000"/>
                <w:sz w:val="22"/>
                <w:szCs w:val="22"/>
              </w:rPr>
              <w:t>Transmission mitigation</w:t>
            </w:r>
          </w:p>
        </w:tc>
      </w:tr>
      <w:tr w:rsidR="00A9171A" w:rsidRPr="00AD151D" w:rsidTr="00A9171A">
        <w:trPr>
          <w:trHeight w:val="791"/>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A9171A" w:rsidRPr="005E5CC1" w:rsidRDefault="00A9171A" w:rsidP="00586B1F">
            <w:pPr>
              <w:keepNext/>
              <w:keepLines/>
              <w:rPr>
                <w:color w:val="000000"/>
                <w:sz w:val="22"/>
                <w:szCs w:val="22"/>
              </w:rPr>
            </w:pPr>
            <w:r w:rsidRPr="005E5CC1">
              <w:rPr>
                <w:color w:val="000000"/>
                <w:sz w:val="22"/>
                <w:szCs w:val="22"/>
              </w:rPr>
              <w:t>MSG unit startup, peaker management, pump management, fast start unit management, ELC Commitment</w:t>
            </w:r>
          </w:p>
        </w:tc>
        <w:tc>
          <w:tcPr>
            <w:tcW w:w="2480" w:type="dxa"/>
            <w:tcBorders>
              <w:top w:val="nil"/>
              <w:left w:val="nil"/>
              <w:bottom w:val="single" w:sz="4" w:space="0" w:color="auto"/>
              <w:right w:val="single" w:sz="4" w:space="0" w:color="auto"/>
            </w:tcBorders>
            <w:shd w:val="clear" w:color="auto" w:fill="auto"/>
            <w:vAlign w:val="bottom"/>
            <w:hideMark/>
          </w:tcPr>
          <w:p w:rsidR="00A9171A" w:rsidRPr="005E5CC1" w:rsidRDefault="00A9171A" w:rsidP="00586B1F">
            <w:pPr>
              <w:keepNext/>
              <w:keepLines/>
              <w:spacing w:after="120"/>
              <w:rPr>
                <w:color w:val="000000"/>
                <w:sz w:val="22"/>
                <w:szCs w:val="22"/>
              </w:rPr>
            </w:pPr>
            <w:r w:rsidRPr="005E5CC1">
              <w:rPr>
                <w:color w:val="000000"/>
                <w:sz w:val="22"/>
                <w:szCs w:val="22"/>
              </w:rPr>
              <w:t>Generation unit startup and management</w:t>
            </w:r>
          </w:p>
        </w:tc>
      </w:tr>
      <w:tr w:rsidR="00A9171A" w:rsidRPr="00AD151D" w:rsidTr="00A9171A">
        <w:trPr>
          <w:trHeight w:val="593"/>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A9171A" w:rsidRPr="005E5CC1" w:rsidRDefault="00A9171A" w:rsidP="00586B1F">
            <w:pPr>
              <w:keepNext/>
              <w:keepLines/>
              <w:rPr>
                <w:color w:val="000000"/>
                <w:sz w:val="22"/>
                <w:szCs w:val="22"/>
              </w:rPr>
            </w:pPr>
            <w:r w:rsidRPr="005E5CC1">
              <w:rPr>
                <w:color w:val="000000"/>
                <w:sz w:val="22"/>
                <w:szCs w:val="22"/>
              </w:rPr>
              <w:t>System Reliability, System Capacity, SP26 Capacity, NP 26 Capacity, System Energy, System Restoration</w:t>
            </w:r>
          </w:p>
        </w:tc>
        <w:tc>
          <w:tcPr>
            <w:tcW w:w="2480" w:type="dxa"/>
            <w:tcBorders>
              <w:top w:val="nil"/>
              <w:left w:val="nil"/>
              <w:bottom w:val="single" w:sz="4" w:space="0" w:color="auto"/>
              <w:right w:val="single" w:sz="4" w:space="0" w:color="auto"/>
            </w:tcBorders>
            <w:shd w:val="clear" w:color="auto" w:fill="auto"/>
            <w:vAlign w:val="bottom"/>
            <w:hideMark/>
          </w:tcPr>
          <w:p w:rsidR="00A9171A" w:rsidRPr="005E5CC1" w:rsidRDefault="00A9171A" w:rsidP="00586B1F">
            <w:pPr>
              <w:keepNext/>
              <w:keepLines/>
              <w:spacing w:after="120"/>
              <w:rPr>
                <w:color w:val="000000"/>
                <w:sz w:val="22"/>
                <w:szCs w:val="22"/>
              </w:rPr>
            </w:pPr>
            <w:r w:rsidRPr="005E5CC1">
              <w:rPr>
                <w:color w:val="000000"/>
                <w:sz w:val="22"/>
                <w:szCs w:val="22"/>
              </w:rPr>
              <w:t>System Reliability</w:t>
            </w:r>
          </w:p>
        </w:tc>
      </w:tr>
      <w:tr w:rsidR="00A9171A" w:rsidRPr="00AD151D" w:rsidTr="00A9171A">
        <w:trPr>
          <w:trHeight w:val="809"/>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A9171A" w:rsidRPr="005E5CC1" w:rsidRDefault="00A9171A" w:rsidP="00586B1F">
            <w:pPr>
              <w:keepNext/>
              <w:keepLines/>
              <w:rPr>
                <w:color w:val="000000"/>
                <w:sz w:val="22"/>
                <w:szCs w:val="22"/>
              </w:rPr>
            </w:pPr>
            <w:r w:rsidRPr="005E5CC1">
              <w:rPr>
                <w:color w:val="000000"/>
                <w:sz w:val="22"/>
                <w:szCs w:val="22"/>
              </w:rPr>
              <w:t>Generation outage, SLIC Derate, Transmission outage, Transmission outage SCE, Transmission outage PG&amp;E, etc.</w:t>
            </w:r>
          </w:p>
        </w:tc>
        <w:tc>
          <w:tcPr>
            <w:tcW w:w="2480" w:type="dxa"/>
            <w:tcBorders>
              <w:top w:val="nil"/>
              <w:left w:val="nil"/>
              <w:bottom w:val="single" w:sz="4" w:space="0" w:color="auto"/>
              <w:right w:val="single" w:sz="4" w:space="0" w:color="auto"/>
            </w:tcBorders>
            <w:shd w:val="clear" w:color="auto" w:fill="auto"/>
            <w:vAlign w:val="bottom"/>
            <w:hideMark/>
          </w:tcPr>
          <w:p w:rsidR="00A9171A" w:rsidRPr="005E5CC1" w:rsidRDefault="00A9171A" w:rsidP="00586B1F">
            <w:pPr>
              <w:keepNext/>
              <w:keepLines/>
              <w:spacing w:after="120"/>
              <w:rPr>
                <w:color w:val="000000"/>
                <w:sz w:val="22"/>
                <w:szCs w:val="22"/>
              </w:rPr>
            </w:pPr>
            <w:r w:rsidRPr="005E5CC1">
              <w:rPr>
                <w:color w:val="000000"/>
                <w:sz w:val="22"/>
                <w:szCs w:val="22"/>
              </w:rPr>
              <w:t>Generation/Transmission outage</w:t>
            </w:r>
          </w:p>
        </w:tc>
      </w:tr>
      <w:tr w:rsidR="00A9171A" w:rsidRPr="00AD151D" w:rsidTr="00A9171A">
        <w:trPr>
          <w:trHeight w:val="88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A9171A" w:rsidRPr="005E5CC1" w:rsidRDefault="00A9171A" w:rsidP="00586B1F">
            <w:pPr>
              <w:keepNext/>
              <w:keepLines/>
              <w:rPr>
                <w:color w:val="000000"/>
                <w:sz w:val="22"/>
                <w:szCs w:val="22"/>
              </w:rPr>
            </w:pPr>
            <w:r w:rsidRPr="005E5CC1">
              <w:rPr>
                <w:color w:val="000000"/>
                <w:sz w:val="22"/>
                <w:szCs w:val="22"/>
              </w:rPr>
              <w:t>SDG&amp;E Import, SDG&amp;E Imports, SDG&amp;E Import Limits, SDG&amp;E Generation Requirement, SCE Imports, PG&amp;E Import Limit</w:t>
            </w:r>
          </w:p>
        </w:tc>
        <w:tc>
          <w:tcPr>
            <w:tcW w:w="2480" w:type="dxa"/>
            <w:tcBorders>
              <w:top w:val="nil"/>
              <w:left w:val="nil"/>
              <w:bottom w:val="single" w:sz="4" w:space="0" w:color="auto"/>
              <w:right w:val="single" w:sz="4" w:space="0" w:color="auto"/>
            </w:tcBorders>
            <w:shd w:val="clear" w:color="auto" w:fill="auto"/>
            <w:vAlign w:val="bottom"/>
            <w:hideMark/>
          </w:tcPr>
          <w:p w:rsidR="00A9171A" w:rsidRPr="005E5CC1" w:rsidRDefault="00A9171A" w:rsidP="00586B1F">
            <w:pPr>
              <w:keepNext/>
              <w:keepLines/>
              <w:spacing w:after="120"/>
              <w:rPr>
                <w:color w:val="000000"/>
                <w:sz w:val="22"/>
                <w:szCs w:val="22"/>
              </w:rPr>
            </w:pPr>
            <w:r w:rsidRPr="005E5CC1">
              <w:rPr>
                <w:color w:val="000000"/>
                <w:sz w:val="22"/>
                <w:szCs w:val="22"/>
              </w:rPr>
              <w:t>Zonal import limits</w:t>
            </w:r>
          </w:p>
        </w:tc>
      </w:tr>
      <w:tr w:rsidR="00A9171A" w:rsidRPr="00AD151D" w:rsidTr="00A9171A">
        <w:trPr>
          <w:trHeight w:val="60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A9171A" w:rsidRPr="005E5CC1" w:rsidRDefault="00A9171A" w:rsidP="00586B1F">
            <w:pPr>
              <w:keepNext/>
              <w:keepLines/>
              <w:rPr>
                <w:color w:val="000000"/>
                <w:sz w:val="22"/>
                <w:szCs w:val="22"/>
              </w:rPr>
            </w:pPr>
            <w:r w:rsidRPr="005E5CC1">
              <w:rPr>
                <w:color w:val="000000"/>
                <w:sz w:val="22"/>
                <w:szCs w:val="22"/>
              </w:rPr>
              <w:t>SDG&amp;E Gas Shortage, Fuel Curtailment, Fuel Shortage, Fuel supply outage</w:t>
            </w:r>
          </w:p>
        </w:tc>
        <w:tc>
          <w:tcPr>
            <w:tcW w:w="2480" w:type="dxa"/>
            <w:tcBorders>
              <w:top w:val="nil"/>
              <w:left w:val="nil"/>
              <w:bottom w:val="single" w:sz="4" w:space="0" w:color="auto"/>
              <w:right w:val="single" w:sz="4" w:space="0" w:color="auto"/>
            </w:tcBorders>
            <w:shd w:val="clear" w:color="auto" w:fill="auto"/>
            <w:vAlign w:val="bottom"/>
            <w:hideMark/>
          </w:tcPr>
          <w:p w:rsidR="00A9171A" w:rsidRPr="005E5CC1" w:rsidRDefault="00A9171A" w:rsidP="00586B1F">
            <w:pPr>
              <w:keepNext/>
              <w:keepLines/>
              <w:spacing w:after="120"/>
              <w:rPr>
                <w:color w:val="000000"/>
                <w:sz w:val="22"/>
                <w:szCs w:val="22"/>
              </w:rPr>
            </w:pPr>
            <w:r w:rsidRPr="005E5CC1">
              <w:rPr>
                <w:color w:val="000000"/>
                <w:sz w:val="22"/>
                <w:szCs w:val="22"/>
              </w:rPr>
              <w:t>Fuel Shortage or Curtailment</w:t>
            </w:r>
          </w:p>
        </w:tc>
      </w:tr>
      <w:tr w:rsidR="00A9171A" w:rsidRPr="00AD151D" w:rsidTr="00095495">
        <w:trPr>
          <w:trHeight w:val="1457"/>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A9171A" w:rsidRPr="005E5CC1" w:rsidRDefault="00A9171A" w:rsidP="00586B1F">
            <w:pPr>
              <w:keepNext/>
              <w:keepLines/>
              <w:rPr>
                <w:color w:val="000000"/>
                <w:sz w:val="22"/>
                <w:szCs w:val="22"/>
              </w:rPr>
            </w:pPr>
            <w:r w:rsidRPr="005E5CC1">
              <w:rPr>
                <w:color w:val="000000"/>
                <w:sz w:val="22"/>
                <w:szCs w:val="22"/>
              </w:rPr>
              <w:t>Market Disruption, SC or customer request, Intertie Emergency Assistance, Over Gen</w:t>
            </w:r>
            <w:r w:rsidR="00431899" w:rsidRPr="005E5CC1">
              <w:rPr>
                <w:color w:val="000000"/>
                <w:sz w:val="22"/>
                <w:szCs w:val="22"/>
              </w:rPr>
              <w:t>e</w:t>
            </w:r>
            <w:r w:rsidRPr="005E5CC1">
              <w:rPr>
                <w:color w:val="000000"/>
                <w:sz w:val="22"/>
                <w:szCs w:val="22"/>
              </w:rPr>
              <w:t>ration, Voltage Control, Voltage Support, Regain ACE, Risk Prediction, Stranded AS, Wrong Start time, Contingency, Missing Bids, Infeasible Day Ahead Schedule, Fuel Shortage or Curtailment</w:t>
            </w:r>
          </w:p>
        </w:tc>
        <w:tc>
          <w:tcPr>
            <w:tcW w:w="2480" w:type="dxa"/>
            <w:tcBorders>
              <w:top w:val="nil"/>
              <w:left w:val="nil"/>
              <w:bottom w:val="single" w:sz="4" w:space="0" w:color="auto"/>
              <w:right w:val="single" w:sz="4" w:space="0" w:color="auto"/>
            </w:tcBorders>
            <w:shd w:val="clear" w:color="auto" w:fill="auto"/>
            <w:vAlign w:val="bottom"/>
            <w:hideMark/>
          </w:tcPr>
          <w:p w:rsidR="00A9171A" w:rsidRPr="005E5CC1" w:rsidRDefault="00A9171A" w:rsidP="00586B1F">
            <w:pPr>
              <w:keepNext/>
              <w:keepLines/>
              <w:spacing w:after="120"/>
              <w:rPr>
                <w:color w:val="000000"/>
                <w:sz w:val="22"/>
                <w:szCs w:val="22"/>
              </w:rPr>
            </w:pPr>
            <w:r w:rsidRPr="005E5CC1">
              <w:rPr>
                <w:color w:val="000000"/>
                <w:sz w:val="22"/>
                <w:szCs w:val="22"/>
              </w:rPr>
              <w:t>Other</w:t>
            </w:r>
          </w:p>
        </w:tc>
      </w:tr>
    </w:tbl>
    <w:p w:rsidR="00431899" w:rsidRPr="00AD151D" w:rsidRDefault="00431899" w:rsidP="00586B1F">
      <w:pPr>
        <w:keepNext/>
        <w:keepLines/>
        <w:spacing w:before="120"/>
        <w:rPr>
          <w:sz w:val="20"/>
          <w:szCs w:val="20"/>
        </w:rPr>
      </w:pPr>
      <w:r w:rsidRPr="00AD151D">
        <w:rPr>
          <w:sz w:val="20"/>
          <w:szCs w:val="20"/>
        </w:rPr>
        <w:t xml:space="preserve">Source: </w:t>
      </w:r>
      <w:r w:rsidR="00DF536B">
        <w:rPr>
          <w:sz w:val="20"/>
          <w:szCs w:val="20"/>
        </w:rPr>
        <w:t>ExD</w:t>
      </w:r>
      <w:r w:rsidRPr="00AD151D">
        <w:rPr>
          <w:sz w:val="20"/>
          <w:szCs w:val="20"/>
        </w:rPr>
        <w:t xml:space="preserve"> reports posted to CAISO website</w:t>
      </w:r>
    </w:p>
    <w:p w:rsidR="00AE7D50" w:rsidRPr="00AD151D" w:rsidRDefault="00AE7D50" w:rsidP="00095495">
      <w:pPr>
        <w:spacing w:before="120"/>
      </w:pPr>
      <w:r w:rsidRPr="00AD151D">
        <w:t xml:space="preserve"> </w:t>
      </w:r>
    </w:p>
    <w:p w:rsidR="00AE7D50" w:rsidRPr="00AD151D" w:rsidRDefault="0030217F">
      <w:pPr>
        <w:pStyle w:val="Heading3"/>
        <w:numPr>
          <w:ilvl w:val="2"/>
          <w:numId w:val="18"/>
        </w:numPr>
        <w:spacing w:before="120"/>
      </w:pPr>
      <w:bookmarkStart w:id="105" w:name="_Toc347827057"/>
      <w:r w:rsidRPr="00AD151D">
        <w:t xml:space="preserve">Trends </w:t>
      </w:r>
      <w:r w:rsidR="00AE7D50" w:rsidRPr="00AD151D">
        <w:t>in ExD by Local Area</w:t>
      </w:r>
      <w:bookmarkEnd w:id="105"/>
    </w:p>
    <w:p w:rsidR="001E0315" w:rsidRDefault="00AE7D50" w:rsidP="001E0315">
      <w:r w:rsidRPr="001E0315">
        <w:t xml:space="preserve">ExD as a whole declined </w:t>
      </w:r>
      <w:r w:rsidR="00C17159">
        <w:t xml:space="preserve">five percent </w:t>
      </w:r>
      <w:r w:rsidR="0030217F" w:rsidRPr="001E0315">
        <w:t>overall</w:t>
      </w:r>
      <w:r w:rsidR="00C17159">
        <w:t xml:space="preserve"> MW volumes</w:t>
      </w:r>
      <w:r w:rsidR="0030217F" w:rsidRPr="001E0315">
        <w:t xml:space="preserve"> between 2010 and </w:t>
      </w:r>
      <w:r w:rsidR="00820AE3" w:rsidRPr="001E0315">
        <w:t>201</w:t>
      </w:r>
      <w:r w:rsidR="00A9171A" w:rsidRPr="001E0315">
        <w:t>1 in MWh volume</w:t>
      </w:r>
      <w:r w:rsidR="00AD0D06" w:rsidRPr="001E0315">
        <w:t xml:space="preserve"> </w:t>
      </w:r>
      <w:r w:rsidR="00C17159">
        <w:t>(</w:t>
      </w:r>
      <w:r w:rsidR="00AD0D06" w:rsidRPr="001E0315">
        <w:t xml:space="preserve">although some Local Areas </w:t>
      </w:r>
      <w:r w:rsidR="00C17159">
        <w:t xml:space="preserve">saw increases </w:t>
      </w:r>
      <w:r w:rsidR="00AD0D06" w:rsidRPr="001E0315">
        <w:t xml:space="preserve">and </w:t>
      </w:r>
      <w:r w:rsidR="00C17159">
        <w:t>in</w:t>
      </w:r>
      <w:r w:rsidR="00AD0D06" w:rsidRPr="001E0315">
        <w:t xml:space="preserve"> some reason codes</w:t>
      </w:r>
      <w:r w:rsidR="00C17159">
        <w:t>)</w:t>
      </w:r>
      <w:r w:rsidR="00AD0D06" w:rsidRPr="001E0315">
        <w:t xml:space="preserve">.  </w:t>
      </w:r>
    </w:p>
    <w:p w:rsidR="001E0315" w:rsidRPr="001E0315" w:rsidRDefault="00A9171A" w:rsidP="001E0315">
      <w:r w:rsidRPr="001E0315">
        <w:t xml:space="preserve">  </w:t>
      </w:r>
      <w:r w:rsidR="00AE7D50" w:rsidRPr="001E0315">
        <w:t xml:space="preserve"> </w:t>
      </w:r>
      <w:bookmarkStart w:id="106" w:name="_Ref287956485"/>
    </w:p>
    <w:p w:rsidR="00AE7D50" w:rsidRPr="00AD151D" w:rsidRDefault="00AE7D50" w:rsidP="001E0315">
      <w:pPr>
        <w:pStyle w:val="Caption"/>
        <w:keepNext/>
        <w:keepLines/>
      </w:pPr>
      <w:bookmarkStart w:id="107" w:name="_Toc347827082"/>
      <w:r w:rsidRPr="00AD151D">
        <w:lastRenderedPageBreak/>
        <w:t xml:space="preserve">Table </w:t>
      </w:r>
      <w:r w:rsidR="00B3535E">
        <w:fldChar w:fldCharType="begin"/>
      </w:r>
      <w:r w:rsidR="00B3535E">
        <w:instrText xml:space="preserve"> SEQ Table \* ARABIC </w:instrText>
      </w:r>
      <w:r w:rsidR="00B3535E">
        <w:fldChar w:fldCharType="separate"/>
      </w:r>
      <w:r w:rsidR="00B3535E">
        <w:rPr>
          <w:noProof/>
        </w:rPr>
        <w:t>12</w:t>
      </w:r>
      <w:r w:rsidR="00B3535E">
        <w:rPr>
          <w:noProof/>
        </w:rPr>
        <w:fldChar w:fldCharType="end"/>
      </w:r>
      <w:bookmarkEnd w:id="106"/>
      <w:r w:rsidRPr="00AD151D">
        <w:t xml:space="preserve"> Comparison of ExD Volume per month and Local Area (MW)</w:t>
      </w:r>
      <w:bookmarkEnd w:id="107"/>
    </w:p>
    <w:tbl>
      <w:tblPr>
        <w:tblW w:w="7665" w:type="dxa"/>
        <w:tblInd w:w="93" w:type="dxa"/>
        <w:tblLook w:val="04A0" w:firstRow="1" w:lastRow="0" w:firstColumn="1" w:lastColumn="0" w:noHBand="0" w:noVBand="1"/>
      </w:tblPr>
      <w:tblGrid>
        <w:gridCol w:w="2805"/>
        <w:gridCol w:w="1170"/>
        <w:gridCol w:w="1170"/>
        <w:gridCol w:w="1170"/>
        <w:gridCol w:w="1350"/>
      </w:tblGrid>
      <w:tr w:rsidR="00411CBB" w:rsidRPr="00AD151D" w:rsidTr="000D7850">
        <w:trPr>
          <w:trHeight w:val="656"/>
        </w:trPr>
        <w:tc>
          <w:tcPr>
            <w:tcW w:w="28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1CBB" w:rsidRPr="00586B1F" w:rsidRDefault="00411CBB" w:rsidP="001E0315">
            <w:pPr>
              <w:keepNext/>
              <w:keepLines/>
              <w:jc w:val="center"/>
              <w:rPr>
                <w:rFonts w:ascii="Calibri" w:hAnsi="Calibri"/>
                <w:b/>
                <w:color w:val="000000"/>
                <w:sz w:val="22"/>
                <w:szCs w:val="22"/>
              </w:rPr>
            </w:pPr>
            <w:r w:rsidRPr="00586B1F">
              <w:rPr>
                <w:rFonts w:ascii="Calibri" w:hAnsi="Calibri"/>
                <w:b/>
                <w:color w:val="000000"/>
                <w:sz w:val="22"/>
                <w:szCs w:val="22"/>
              </w:rPr>
              <w:t>Local Area</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411CBB" w:rsidRPr="00586B1F" w:rsidRDefault="00411CBB" w:rsidP="001E0315">
            <w:pPr>
              <w:keepNext/>
              <w:keepLines/>
              <w:jc w:val="center"/>
              <w:rPr>
                <w:rFonts w:ascii="Calibri" w:hAnsi="Calibri"/>
                <w:b/>
                <w:color w:val="000000"/>
                <w:sz w:val="22"/>
                <w:szCs w:val="22"/>
              </w:rPr>
            </w:pPr>
            <w:r w:rsidRPr="00586B1F">
              <w:rPr>
                <w:rFonts w:ascii="Calibri" w:hAnsi="Calibri"/>
                <w:b/>
                <w:color w:val="000000"/>
                <w:sz w:val="22"/>
                <w:szCs w:val="22"/>
              </w:rPr>
              <w:t>2011 Total MWh</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411CBB" w:rsidRPr="00586B1F" w:rsidRDefault="00411CBB" w:rsidP="001E0315">
            <w:pPr>
              <w:keepNext/>
              <w:keepLines/>
              <w:jc w:val="center"/>
              <w:rPr>
                <w:rFonts w:ascii="Calibri" w:hAnsi="Calibri"/>
                <w:b/>
                <w:color w:val="000000"/>
                <w:sz w:val="22"/>
                <w:szCs w:val="22"/>
              </w:rPr>
            </w:pPr>
            <w:r w:rsidRPr="00586B1F">
              <w:rPr>
                <w:rFonts w:ascii="Calibri" w:hAnsi="Calibri"/>
                <w:b/>
                <w:color w:val="000000"/>
                <w:sz w:val="22"/>
                <w:szCs w:val="22"/>
              </w:rPr>
              <w:t>2010 Total MWh</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411CBB" w:rsidRPr="00586B1F" w:rsidRDefault="00095495" w:rsidP="001E0315">
            <w:pPr>
              <w:keepNext/>
              <w:keepLines/>
              <w:jc w:val="center"/>
              <w:rPr>
                <w:rFonts w:ascii="Calibri" w:hAnsi="Calibri"/>
                <w:b/>
                <w:color w:val="000000"/>
                <w:sz w:val="22"/>
                <w:szCs w:val="22"/>
              </w:rPr>
            </w:pPr>
            <w:r w:rsidRPr="00586B1F">
              <w:rPr>
                <w:rFonts w:ascii="Calibri" w:hAnsi="Calibri"/>
                <w:b/>
                <w:color w:val="000000"/>
                <w:sz w:val="22"/>
                <w:szCs w:val="22"/>
              </w:rPr>
              <w:t>Y-O-Y Change</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411CBB" w:rsidRPr="00586B1F" w:rsidRDefault="00411CBB" w:rsidP="001E0315">
            <w:pPr>
              <w:keepNext/>
              <w:keepLines/>
              <w:jc w:val="center"/>
              <w:rPr>
                <w:rFonts w:ascii="Calibri" w:hAnsi="Calibri"/>
                <w:b/>
                <w:color w:val="000000"/>
                <w:sz w:val="22"/>
                <w:szCs w:val="22"/>
              </w:rPr>
            </w:pPr>
            <w:r w:rsidRPr="00586B1F">
              <w:rPr>
                <w:rFonts w:ascii="Calibri" w:hAnsi="Calibri"/>
                <w:b/>
                <w:color w:val="000000"/>
                <w:sz w:val="22"/>
                <w:szCs w:val="22"/>
              </w:rPr>
              <w:t xml:space="preserve">2011 </w:t>
            </w:r>
            <w:r w:rsidR="00095495" w:rsidRPr="00586B1F">
              <w:rPr>
                <w:rFonts w:ascii="Calibri" w:hAnsi="Calibri"/>
                <w:b/>
                <w:color w:val="000000"/>
                <w:sz w:val="22"/>
                <w:szCs w:val="22"/>
              </w:rPr>
              <w:t xml:space="preserve">% </w:t>
            </w:r>
            <w:r w:rsidRPr="00586B1F">
              <w:rPr>
                <w:rFonts w:ascii="Calibri" w:hAnsi="Calibri"/>
                <w:b/>
                <w:color w:val="000000"/>
                <w:sz w:val="22"/>
                <w:szCs w:val="22"/>
              </w:rPr>
              <w:t>of total</w:t>
            </w:r>
          </w:p>
        </w:tc>
      </w:tr>
      <w:tr w:rsidR="00411CBB" w:rsidRPr="00AD151D" w:rsidTr="00095495">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411CBB" w:rsidRPr="00AD151D" w:rsidRDefault="00411CBB" w:rsidP="001E0315">
            <w:pPr>
              <w:keepNext/>
              <w:keepLines/>
              <w:rPr>
                <w:rFonts w:ascii="Calibri" w:hAnsi="Calibri"/>
                <w:color w:val="000000"/>
                <w:sz w:val="22"/>
                <w:szCs w:val="22"/>
              </w:rPr>
            </w:pPr>
            <w:r w:rsidRPr="00AD151D">
              <w:rPr>
                <w:rFonts w:ascii="Calibri" w:hAnsi="Calibri"/>
                <w:color w:val="000000"/>
                <w:sz w:val="22"/>
                <w:szCs w:val="22"/>
              </w:rPr>
              <w:t>Bay Area</w:t>
            </w:r>
          </w:p>
        </w:tc>
        <w:tc>
          <w:tcPr>
            <w:tcW w:w="1170" w:type="dxa"/>
            <w:tcBorders>
              <w:top w:val="nil"/>
              <w:left w:val="nil"/>
              <w:bottom w:val="single" w:sz="4" w:space="0" w:color="auto"/>
              <w:right w:val="single" w:sz="4" w:space="0" w:color="auto"/>
            </w:tcBorders>
            <w:shd w:val="clear" w:color="auto" w:fill="auto"/>
            <w:noWrap/>
            <w:vAlign w:val="bottom"/>
            <w:hideMark/>
          </w:tcPr>
          <w:p w:rsidR="00411CBB" w:rsidRPr="00AD151D" w:rsidRDefault="00411CBB" w:rsidP="001E0315">
            <w:pPr>
              <w:keepNext/>
              <w:keepLines/>
              <w:jc w:val="right"/>
              <w:rPr>
                <w:rFonts w:ascii="Calibri" w:hAnsi="Calibri"/>
                <w:color w:val="000000"/>
                <w:sz w:val="22"/>
                <w:szCs w:val="22"/>
              </w:rPr>
            </w:pPr>
            <w:r w:rsidRPr="00AD151D">
              <w:rPr>
                <w:rFonts w:ascii="Calibri" w:hAnsi="Calibri"/>
                <w:color w:val="000000"/>
                <w:sz w:val="22"/>
                <w:szCs w:val="22"/>
              </w:rPr>
              <w:t>76614</w:t>
            </w:r>
          </w:p>
        </w:tc>
        <w:tc>
          <w:tcPr>
            <w:tcW w:w="1170" w:type="dxa"/>
            <w:tcBorders>
              <w:top w:val="nil"/>
              <w:left w:val="nil"/>
              <w:bottom w:val="single" w:sz="4" w:space="0" w:color="auto"/>
              <w:right w:val="single" w:sz="4" w:space="0" w:color="auto"/>
            </w:tcBorders>
            <w:shd w:val="clear" w:color="auto" w:fill="auto"/>
            <w:noWrap/>
            <w:vAlign w:val="bottom"/>
            <w:hideMark/>
          </w:tcPr>
          <w:p w:rsidR="00411CBB" w:rsidRPr="00AD151D" w:rsidRDefault="00411CBB" w:rsidP="001E0315">
            <w:pPr>
              <w:keepNext/>
              <w:keepLines/>
              <w:jc w:val="right"/>
              <w:rPr>
                <w:rFonts w:ascii="Calibri" w:hAnsi="Calibri"/>
                <w:color w:val="000000"/>
                <w:sz w:val="22"/>
                <w:szCs w:val="22"/>
              </w:rPr>
            </w:pPr>
            <w:r w:rsidRPr="00AD151D">
              <w:rPr>
                <w:rFonts w:ascii="Calibri" w:hAnsi="Calibri"/>
                <w:color w:val="000000"/>
                <w:sz w:val="22"/>
                <w:szCs w:val="22"/>
              </w:rPr>
              <w:t>34441</w:t>
            </w:r>
          </w:p>
        </w:tc>
        <w:tc>
          <w:tcPr>
            <w:tcW w:w="1170" w:type="dxa"/>
            <w:tcBorders>
              <w:top w:val="nil"/>
              <w:left w:val="nil"/>
              <w:bottom w:val="single" w:sz="4" w:space="0" w:color="auto"/>
              <w:right w:val="single" w:sz="4" w:space="0" w:color="auto"/>
            </w:tcBorders>
            <w:shd w:val="clear" w:color="auto" w:fill="auto"/>
            <w:vAlign w:val="bottom"/>
            <w:hideMark/>
          </w:tcPr>
          <w:p w:rsidR="00411CBB" w:rsidRPr="00AD151D" w:rsidRDefault="00411CBB" w:rsidP="001E0315">
            <w:pPr>
              <w:keepNext/>
              <w:keepLines/>
              <w:jc w:val="right"/>
              <w:rPr>
                <w:rFonts w:ascii="Calibri" w:hAnsi="Calibri"/>
                <w:color w:val="000000"/>
                <w:sz w:val="22"/>
                <w:szCs w:val="22"/>
              </w:rPr>
            </w:pPr>
            <w:r w:rsidRPr="00AD151D">
              <w:rPr>
                <w:rFonts w:ascii="Calibri" w:hAnsi="Calibri"/>
                <w:color w:val="000000"/>
                <w:sz w:val="22"/>
                <w:szCs w:val="22"/>
              </w:rPr>
              <w:t>122%</w:t>
            </w:r>
          </w:p>
        </w:tc>
        <w:tc>
          <w:tcPr>
            <w:tcW w:w="1350" w:type="dxa"/>
            <w:tcBorders>
              <w:top w:val="nil"/>
              <w:left w:val="nil"/>
              <w:bottom w:val="single" w:sz="4" w:space="0" w:color="auto"/>
              <w:right w:val="single" w:sz="4" w:space="0" w:color="auto"/>
            </w:tcBorders>
            <w:shd w:val="clear" w:color="auto" w:fill="auto"/>
            <w:vAlign w:val="bottom"/>
            <w:hideMark/>
          </w:tcPr>
          <w:p w:rsidR="00411CBB" w:rsidRPr="00AD151D" w:rsidRDefault="00411CBB" w:rsidP="001E0315">
            <w:pPr>
              <w:keepNext/>
              <w:keepLines/>
              <w:jc w:val="right"/>
              <w:rPr>
                <w:rFonts w:ascii="Calibri" w:hAnsi="Calibri"/>
                <w:color w:val="000000"/>
                <w:sz w:val="22"/>
                <w:szCs w:val="22"/>
              </w:rPr>
            </w:pPr>
            <w:r w:rsidRPr="00AD151D">
              <w:rPr>
                <w:rFonts w:ascii="Calibri" w:hAnsi="Calibri"/>
                <w:color w:val="000000"/>
                <w:sz w:val="22"/>
                <w:szCs w:val="22"/>
              </w:rPr>
              <w:t>6%</w:t>
            </w:r>
          </w:p>
        </w:tc>
      </w:tr>
      <w:tr w:rsidR="00411CBB" w:rsidRPr="00AD151D" w:rsidTr="00095495">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411CBB" w:rsidRPr="00AD151D" w:rsidRDefault="00411CBB" w:rsidP="001E0315">
            <w:pPr>
              <w:keepNext/>
              <w:keepLines/>
              <w:rPr>
                <w:rFonts w:ascii="Calibri" w:hAnsi="Calibri"/>
                <w:color w:val="000000"/>
                <w:sz w:val="22"/>
                <w:szCs w:val="22"/>
              </w:rPr>
            </w:pPr>
            <w:r w:rsidRPr="00AD151D">
              <w:rPr>
                <w:rFonts w:ascii="Calibri" w:hAnsi="Calibri"/>
                <w:color w:val="000000"/>
                <w:sz w:val="22"/>
                <w:szCs w:val="22"/>
              </w:rPr>
              <w:t>Big Creek-Ventura</w:t>
            </w:r>
          </w:p>
        </w:tc>
        <w:tc>
          <w:tcPr>
            <w:tcW w:w="1170" w:type="dxa"/>
            <w:tcBorders>
              <w:top w:val="nil"/>
              <w:left w:val="nil"/>
              <w:bottom w:val="single" w:sz="4" w:space="0" w:color="auto"/>
              <w:right w:val="single" w:sz="4" w:space="0" w:color="auto"/>
            </w:tcBorders>
            <w:shd w:val="clear" w:color="auto" w:fill="auto"/>
            <w:noWrap/>
            <w:vAlign w:val="bottom"/>
            <w:hideMark/>
          </w:tcPr>
          <w:p w:rsidR="00411CBB" w:rsidRPr="00AD151D" w:rsidRDefault="00411CBB" w:rsidP="001E0315">
            <w:pPr>
              <w:keepNext/>
              <w:keepLines/>
              <w:jc w:val="right"/>
              <w:rPr>
                <w:rFonts w:ascii="Calibri" w:hAnsi="Calibri"/>
                <w:color w:val="000000"/>
                <w:sz w:val="22"/>
                <w:szCs w:val="22"/>
              </w:rPr>
            </w:pPr>
            <w:r w:rsidRPr="00AD151D">
              <w:rPr>
                <w:rFonts w:ascii="Calibri" w:hAnsi="Calibri"/>
                <w:color w:val="000000"/>
                <w:sz w:val="22"/>
                <w:szCs w:val="22"/>
              </w:rPr>
              <w:t>47010</w:t>
            </w:r>
          </w:p>
        </w:tc>
        <w:tc>
          <w:tcPr>
            <w:tcW w:w="1170" w:type="dxa"/>
            <w:tcBorders>
              <w:top w:val="nil"/>
              <w:left w:val="nil"/>
              <w:bottom w:val="single" w:sz="4" w:space="0" w:color="auto"/>
              <w:right w:val="single" w:sz="4" w:space="0" w:color="auto"/>
            </w:tcBorders>
            <w:shd w:val="clear" w:color="auto" w:fill="auto"/>
            <w:noWrap/>
            <w:vAlign w:val="bottom"/>
            <w:hideMark/>
          </w:tcPr>
          <w:p w:rsidR="00411CBB" w:rsidRPr="00AD151D" w:rsidRDefault="00411CBB" w:rsidP="001E0315">
            <w:pPr>
              <w:keepNext/>
              <w:keepLines/>
              <w:jc w:val="right"/>
              <w:rPr>
                <w:rFonts w:ascii="Calibri" w:hAnsi="Calibri"/>
                <w:color w:val="000000"/>
                <w:sz w:val="22"/>
                <w:szCs w:val="22"/>
              </w:rPr>
            </w:pPr>
            <w:r w:rsidRPr="00AD151D">
              <w:rPr>
                <w:rFonts w:ascii="Calibri" w:hAnsi="Calibri"/>
                <w:color w:val="000000"/>
                <w:sz w:val="22"/>
                <w:szCs w:val="22"/>
              </w:rPr>
              <w:t>139233</w:t>
            </w:r>
          </w:p>
        </w:tc>
        <w:tc>
          <w:tcPr>
            <w:tcW w:w="1170" w:type="dxa"/>
            <w:tcBorders>
              <w:top w:val="nil"/>
              <w:left w:val="nil"/>
              <w:bottom w:val="single" w:sz="4" w:space="0" w:color="auto"/>
              <w:right w:val="single" w:sz="4" w:space="0" w:color="auto"/>
            </w:tcBorders>
            <w:shd w:val="clear" w:color="auto" w:fill="auto"/>
            <w:vAlign w:val="bottom"/>
            <w:hideMark/>
          </w:tcPr>
          <w:p w:rsidR="00411CBB" w:rsidRPr="00AD151D" w:rsidRDefault="00411CBB" w:rsidP="001E0315">
            <w:pPr>
              <w:keepNext/>
              <w:keepLines/>
              <w:jc w:val="right"/>
              <w:rPr>
                <w:rFonts w:ascii="Calibri" w:hAnsi="Calibri"/>
                <w:color w:val="000000"/>
                <w:sz w:val="22"/>
                <w:szCs w:val="22"/>
              </w:rPr>
            </w:pPr>
            <w:r w:rsidRPr="00AD151D">
              <w:rPr>
                <w:rFonts w:ascii="Calibri" w:hAnsi="Calibri"/>
                <w:color w:val="000000"/>
                <w:sz w:val="22"/>
                <w:szCs w:val="22"/>
              </w:rPr>
              <w:t>-66%</w:t>
            </w:r>
          </w:p>
        </w:tc>
        <w:tc>
          <w:tcPr>
            <w:tcW w:w="1350" w:type="dxa"/>
            <w:tcBorders>
              <w:top w:val="nil"/>
              <w:left w:val="nil"/>
              <w:bottom w:val="single" w:sz="4" w:space="0" w:color="auto"/>
              <w:right w:val="single" w:sz="4" w:space="0" w:color="auto"/>
            </w:tcBorders>
            <w:shd w:val="clear" w:color="auto" w:fill="auto"/>
            <w:vAlign w:val="bottom"/>
            <w:hideMark/>
          </w:tcPr>
          <w:p w:rsidR="00411CBB" w:rsidRPr="00AD151D" w:rsidRDefault="00411CBB" w:rsidP="001E0315">
            <w:pPr>
              <w:keepNext/>
              <w:keepLines/>
              <w:jc w:val="right"/>
              <w:rPr>
                <w:rFonts w:ascii="Calibri" w:hAnsi="Calibri"/>
                <w:color w:val="000000"/>
                <w:sz w:val="22"/>
                <w:szCs w:val="22"/>
              </w:rPr>
            </w:pPr>
            <w:r w:rsidRPr="00AD151D">
              <w:rPr>
                <w:rFonts w:ascii="Calibri" w:hAnsi="Calibri"/>
                <w:color w:val="000000"/>
                <w:sz w:val="22"/>
                <w:szCs w:val="22"/>
              </w:rPr>
              <w:t>4%</w:t>
            </w:r>
          </w:p>
        </w:tc>
      </w:tr>
      <w:tr w:rsidR="00411CBB" w:rsidRPr="00AD151D" w:rsidTr="00095495">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411CBB" w:rsidRPr="00AD151D" w:rsidRDefault="00411CBB" w:rsidP="001E0315">
            <w:pPr>
              <w:keepNext/>
              <w:keepLines/>
              <w:rPr>
                <w:rFonts w:ascii="Calibri" w:hAnsi="Calibri"/>
                <w:color w:val="000000"/>
                <w:sz w:val="22"/>
                <w:szCs w:val="22"/>
              </w:rPr>
            </w:pPr>
            <w:r w:rsidRPr="00AD151D">
              <w:rPr>
                <w:rFonts w:ascii="Calibri" w:hAnsi="Calibri"/>
                <w:color w:val="000000"/>
                <w:sz w:val="22"/>
                <w:szCs w:val="22"/>
              </w:rPr>
              <w:t>Fresno</w:t>
            </w:r>
          </w:p>
        </w:tc>
        <w:tc>
          <w:tcPr>
            <w:tcW w:w="1170" w:type="dxa"/>
            <w:tcBorders>
              <w:top w:val="nil"/>
              <w:left w:val="nil"/>
              <w:bottom w:val="single" w:sz="4" w:space="0" w:color="auto"/>
              <w:right w:val="single" w:sz="4" w:space="0" w:color="auto"/>
            </w:tcBorders>
            <w:shd w:val="clear" w:color="auto" w:fill="auto"/>
            <w:noWrap/>
            <w:vAlign w:val="bottom"/>
            <w:hideMark/>
          </w:tcPr>
          <w:p w:rsidR="00411CBB" w:rsidRPr="00AD151D" w:rsidRDefault="00411CBB" w:rsidP="001E0315">
            <w:pPr>
              <w:keepNext/>
              <w:keepLines/>
              <w:jc w:val="right"/>
              <w:rPr>
                <w:rFonts w:ascii="Calibri" w:hAnsi="Calibri"/>
                <w:color w:val="000000"/>
                <w:sz w:val="22"/>
                <w:szCs w:val="22"/>
              </w:rPr>
            </w:pPr>
            <w:r w:rsidRPr="00AD151D">
              <w:rPr>
                <w:rFonts w:ascii="Calibri" w:hAnsi="Calibri"/>
                <w:color w:val="000000"/>
                <w:sz w:val="22"/>
                <w:szCs w:val="22"/>
              </w:rPr>
              <w:t>71657</w:t>
            </w:r>
          </w:p>
        </w:tc>
        <w:tc>
          <w:tcPr>
            <w:tcW w:w="1170" w:type="dxa"/>
            <w:tcBorders>
              <w:top w:val="nil"/>
              <w:left w:val="nil"/>
              <w:bottom w:val="single" w:sz="4" w:space="0" w:color="auto"/>
              <w:right w:val="single" w:sz="4" w:space="0" w:color="auto"/>
            </w:tcBorders>
            <w:shd w:val="clear" w:color="auto" w:fill="auto"/>
            <w:noWrap/>
            <w:vAlign w:val="bottom"/>
            <w:hideMark/>
          </w:tcPr>
          <w:p w:rsidR="00411CBB" w:rsidRPr="00AD151D" w:rsidRDefault="00411CBB" w:rsidP="001E0315">
            <w:pPr>
              <w:keepNext/>
              <w:keepLines/>
              <w:jc w:val="right"/>
              <w:rPr>
                <w:rFonts w:ascii="Calibri" w:hAnsi="Calibri"/>
                <w:color w:val="000000"/>
                <w:sz w:val="22"/>
                <w:szCs w:val="22"/>
              </w:rPr>
            </w:pPr>
            <w:r w:rsidRPr="00AD151D">
              <w:rPr>
                <w:rFonts w:ascii="Calibri" w:hAnsi="Calibri"/>
                <w:color w:val="000000"/>
                <w:sz w:val="22"/>
                <w:szCs w:val="22"/>
              </w:rPr>
              <w:t>53584</w:t>
            </w:r>
          </w:p>
        </w:tc>
        <w:tc>
          <w:tcPr>
            <w:tcW w:w="1170" w:type="dxa"/>
            <w:tcBorders>
              <w:top w:val="nil"/>
              <w:left w:val="nil"/>
              <w:bottom w:val="single" w:sz="4" w:space="0" w:color="auto"/>
              <w:right w:val="single" w:sz="4" w:space="0" w:color="auto"/>
            </w:tcBorders>
            <w:shd w:val="clear" w:color="auto" w:fill="auto"/>
            <w:vAlign w:val="bottom"/>
            <w:hideMark/>
          </w:tcPr>
          <w:p w:rsidR="00411CBB" w:rsidRPr="00AD151D" w:rsidRDefault="00411CBB" w:rsidP="001E0315">
            <w:pPr>
              <w:keepNext/>
              <w:keepLines/>
              <w:jc w:val="right"/>
              <w:rPr>
                <w:rFonts w:ascii="Calibri" w:hAnsi="Calibri"/>
                <w:color w:val="000000"/>
                <w:sz w:val="22"/>
                <w:szCs w:val="22"/>
              </w:rPr>
            </w:pPr>
            <w:r w:rsidRPr="00AD151D">
              <w:rPr>
                <w:rFonts w:ascii="Calibri" w:hAnsi="Calibri"/>
                <w:color w:val="000000"/>
                <w:sz w:val="22"/>
                <w:szCs w:val="22"/>
              </w:rPr>
              <w:t>34%</w:t>
            </w:r>
          </w:p>
        </w:tc>
        <w:tc>
          <w:tcPr>
            <w:tcW w:w="1350" w:type="dxa"/>
            <w:tcBorders>
              <w:top w:val="nil"/>
              <w:left w:val="nil"/>
              <w:bottom w:val="single" w:sz="4" w:space="0" w:color="auto"/>
              <w:right w:val="single" w:sz="4" w:space="0" w:color="auto"/>
            </w:tcBorders>
            <w:shd w:val="clear" w:color="auto" w:fill="auto"/>
            <w:vAlign w:val="bottom"/>
            <w:hideMark/>
          </w:tcPr>
          <w:p w:rsidR="00411CBB" w:rsidRPr="00AD151D" w:rsidRDefault="00411CBB" w:rsidP="001E0315">
            <w:pPr>
              <w:keepNext/>
              <w:keepLines/>
              <w:jc w:val="right"/>
              <w:rPr>
                <w:rFonts w:ascii="Calibri" w:hAnsi="Calibri"/>
                <w:color w:val="000000"/>
                <w:sz w:val="22"/>
                <w:szCs w:val="22"/>
              </w:rPr>
            </w:pPr>
            <w:r w:rsidRPr="00AD151D">
              <w:rPr>
                <w:rFonts w:ascii="Calibri" w:hAnsi="Calibri"/>
                <w:color w:val="000000"/>
                <w:sz w:val="22"/>
                <w:szCs w:val="22"/>
              </w:rPr>
              <w:t>6%</w:t>
            </w:r>
          </w:p>
        </w:tc>
      </w:tr>
      <w:tr w:rsidR="00411CBB" w:rsidRPr="00AD151D" w:rsidTr="00095495">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411CBB" w:rsidRPr="00AD151D" w:rsidRDefault="00411CBB" w:rsidP="001E0315">
            <w:pPr>
              <w:keepNext/>
              <w:keepLines/>
              <w:rPr>
                <w:rFonts w:ascii="Calibri" w:hAnsi="Calibri"/>
                <w:color w:val="000000"/>
                <w:sz w:val="22"/>
                <w:szCs w:val="22"/>
              </w:rPr>
            </w:pPr>
            <w:r w:rsidRPr="00AD151D">
              <w:rPr>
                <w:rFonts w:ascii="Calibri" w:hAnsi="Calibri"/>
                <w:color w:val="000000"/>
                <w:sz w:val="22"/>
                <w:szCs w:val="22"/>
              </w:rPr>
              <w:t>Humboldt</w:t>
            </w:r>
          </w:p>
        </w:tc>
        <w:tc>
          <w:tcPr>
            <w:tcW w:w="1170" w:type="dxa"/>
            <w:tcBorders>
              <w:top w:val="nil"/>
              <w:left w:val="nil"/>
              <w:bottom w:val="single" w:sz="4" w:space="0" w:color="auto"/>
              <w:right w:val="single" w:sz="4" w:space="0" w:color="auto"/>
            </w:tcBorders>
            <w:shd w:val="clear" w:color="auto" w:fill="auto"/>
            <w:noWrap/>
            <w:vAlign w:val="bottom"/>
            <w:hideMark/>
          </w:tcPr>
          <w:p w:rsidR="00411CBB" w:rsidRPr="00AD151D" w:rsidRDefault="00411CBB" w:rsidP="001E0315">
            <w:pPr>
              <w:keepNext/>
              <w:keepLines/>
              <w:jc w:val="right"/>
              <w:rPr>
                <w:rFonts w:ascii="Calibri" w:hAnsi="Calibri"/>
                <w:color w:val="000000"/>
                <w:sz w:val="22"/>
                <w:szCs w:val="22"/>
              </w:rPr>
            </w:pPr>
            <w:r w:rsidRPr="00AD151D">
              <w:rPr>
                <w:rFonts w:ascii="Calibri" w:hAnsi="Calibri"/>
                <w:color w:val="000000"/>
                <w:sz w:val="22"/>
                <w:szCs w:val="22"/>
              </w:rPr>
              <w:t>42147</w:t>
            </w:r>
          </w:p>
        </w:tc>
        <w:tc>
          <w:tcPr>
            <w:tcW w:w="1170" w:type="dxa"/>
            <w:tcBorders>
              <w:top w:val="nil"/>
              <w:left w:val="nil"/>
              <w:bottom w:val="single" w:sz="4" w:space="0" w:color="auto"/>
              <w:right w:val="single" w:sz="4" w:space="0" w:color="auto"/>
            </w:tcBorders>
            <w:shd w:val="clear" w:color="auto" w:fill="auto"/>
            <w:noWrap/>
            <w:vAlign w:val="bottom"/>
            <w:hideMark/>
          </w:tcPr>
          <w:p w:rsidR="00411CBB" w:rsidRPr="00AD151D" w:rsidRDefault="00411CBB" w:rsidP="001E0315">
            <w:pPr>
              <w:keepNext/>
              <w:keepLines/>
              <w:jc w:val="right"/>
              <w:rPr>
                <w:rFonts w:ascii="Calibri" w:hAnsi="Calibri"/>
                <w:color w:val="000000"/>
                <w:sz w:val="22"/>
                <w:szCs w:val="22"/>
              </w:rPr>
            </w:pPr>
            <w:r w:rsidRPr="00AD151D">
              <w:rPr>
                <w:rFonts w:ascii="Calibri" w:hAnsi="Calibri"/>
                <w:color w:val="000000"/>
                <w:sz w:val="22"/>
                <w:szCs w:val="22"/>
              </w:rPr>
              <w:t>11687</w:t>
            </w:r>
          </w:p>
        </w:tc>
        <w:tc>
          <w:tcPr>
            <w:tcW w:w="1170" w:type="dxa"/>
            <w:tcBorders>
              <w:top w:val="nil"/>
              <w:left w:val="nil"/>
              <w:bottom w:val="single" w:sz="4" w:space="0" w:color="auto"/>
              <w:right w:val="single" w:sz="4" w:space="0" w:color="auto"/>
            </w:tcBorders>
            <w:shd w:val="clear" w:color="auto" w:fill="auto"/>
            <w:vAlign w:val="bottom"/>
            <w:hideMark/>
          </w:tcPr>
          <w:p w:rsidR="00411CBB" w:rsidRPr="00AD151D" w:rsidRDefault="00411CBB" w:rsidP="001E0315">
            <w:pPr>
              <w:keepNext/>
              <w:keepLines/>
              <w:jc w:val="right"/>
              <w:rPr>
                <w:rFonts w:ascii="Calibri" w:hAnsi="Calibri"/>
                <w:color w:val="000000"/>
                <w:sz w:val="22"/>
                <w:szCs w:val="22"/>
              </w:rPr>
            </w:pPr>
            <w:r w:rsidRPr="00AD151D">
              <w:rPr>
                <w:rFonts w:ascii="Calibri" w:hAnsi="Calibri"/>
                <w:color w:val="000000"/>
                <w:sz w:val="22"/>
                <w:szCs w:val="22"/>
              </w:rPr>
              <w:t>261%</w:t>
            </w:r>
          </w:p>
        </w:tc>
        <w:tc>
          <w:tcPr>
            <w:tcW w:w="1350" w:type="dxa"/>
            <w:tcBorders>
              <w:top w:val="nil"/>
              <w:left w:val="nil"/>
              <w:bottom w:val="single" w:sz="4" w:space="0" w:color="auto"/>
              <w:right w:val="single" w:sz="4" w:space="0" w:color="auto"/>
            </w:tcBorders>
            <w:shd w:val="clear" w:color="auto" w:fill="auto"/>
            <w:vAlign w:val="bottom"/>
            <w:hideMark/>
          </w:tcPr>
          <w:p w:rsidR="00411CBB" w:rsidRPr="00AD151D" w:rsidRDefault="00411CBB" w:rsidP="001E0315">
            <w:pPr>
              <w:keepNext/>
              <w:keepLines/>
              <w:jc w:val="right"/>
              <w:rPr>
                <w:rFonts w:ascii="Calibri" w:hAnsi="Calibri"/>
                <w:color w:val="000000"/>
                <w:sz w:val="22"/>
                <w:szCs w:val="22"/>
              </w:rPr>
            </w:pPr>
            <w:r w:rsidRPr="00AD151D">
              <w:rPr>
                <w:rFonts w:ascii="Calibri" w:hAnsi="Calibri"/>
                <w:color w:val="000000"/>
                <w:sz w:val="22"/>
                <w:szCs w:val="22"/>
              </w:rPr>
              <w:t>3%</w:t>
            </w:r>
          </w:p>
        </w:tc>
      </w:tr>
      <w:tr w:rsidR="00411CBB" w:rsidRPr="00AD151D" w:rsidTr="00095495">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411CBB" w:rsidRPr="00AD151D" w:rsidRDefault="00411CBB" w:rsidP="001E0315">
            <w:pPr>
              <w:keepNext/>
              <w:keepLines/>
              <w:rPr>
                <w:rFonts w:ascii="Calibri" w:hAnsi="Calibri"/>
                <w:color w:val="000000"/>
                <w:sz w:val="22"/>
                <w:szCs w:val="22"/>
              </w:rPr>
            </w:pPr>
            <w:r w:rsidRPr="00AD151D">
              <w:rPr>
                <w:rFonts w:ascii="Calibri" w:hAnsi="Calibri"/>
                <w:color w:val="000000"/>
                <w:sz w:val="22"/>
                <w:szCs w:val="22"/>
              </w:rPr>
              <w:t>Kern</w:t>
            </w:r>
          </w:p>
        </w:tc>
        <w:tc>
          <w:tcPr>
            <w:tcW w:w="1170" w:type="dxa"/>
            <w:tcBorders>
              <w:top w:val="nil"/>
              <w:left w:val="nil"/>
              <w:bottom w:val="single" w:sz="4" w:space="0" w:color="auto"/>
              <w:right w:val="single" w:sz="4" w:space="0" w:color="auto"/>
            </w:tcBorders>
            <w:shd w:val="clear" w:color="auto" w:fill="auto"/>
            <w:noWrap/>
            <w:vAlign w:val="bottom"/>
            <w:hideMark/>
          </w:tcPr>
          <w:p w:rsidR="00411CBB" w:rsidRPr="00AD151D" w:rsidRDefault="00411CBB" w:rsidP="001E0315">
            <w:pPr>
              <w:keepNext/>
              <w:keepLines/>
              <w:jc w:val="right"/>
              <w:rPr>
                <w:rFonts w:ascii="Calibri" w:hAnsi="Calibri"/>
                <w:color w:val="000000"/>
                <w:sz w:val="22"/>
                <w:szCs w:val="22"/>
              </w:rPr>
            </w:pPr>
            <w:r w:rsidRPr="00AD151D">
              <w:rPr>
                <w:rFonts w:ascii="Calibri" w:hAnsi="Calibri"/>
                <w:color w:val="000000"/>
                <w:sz w:val="22"/>
                <w:szCs w:val="22"/>
              </w:rPr>
              <w:t>0</w:t>
            </w:r>
          </w:p>
        </w:tc>
        <w:tc>
          <w:tcPr>
            <w:tcW w:w="1170" w:type="dxa"/>
            <w:tcBorders>
              <w:top w:val="nil"/>
              <w:left w:val="nil"/>
              <w:bottom w:val="single" w:sz="4" w:space="0" w:color="auto"/>
              <w:right w:val="single" w:sz="4" w:space="0" w:color="auto"/>
            </w:tcBorders>
            <w:shd w:val="clear" w:color="auto" w:fill="auto"/>
            <w:noWrap/>
            <w:vAlign w:val="bottom"/>
            <w:hideMark/>
          </w:tcPr>
          <w:p w:rsidR="00411CBB" w:rsidRPr="00AD151D" w:rsidRDefault="00411CBB" w:rsidP="001E0315">
            <w:pPr>
              <w:keepNext/>
              <w:keepLines/>
              <w:jc w:val="right"/>
              <w:rPr>
                <w:rFonts w:ascii="Calibri" w:hAnsi="Calibri"/>
                <w:color w:val="000000"/>
                <w:sz w:val="22"/>
                <w:szCs w:val="22"/>
              </w:rPr>
            </w:pPr>
            <w:r w:rsidRPr="00AD151D">
              <w:rPr>
                <w:rFonts w:ascii="Calibri" w:hAnsi="Calibri"/>
                <w:color w:val="000000"/>
                <w:sz w:val="22"/>
                <w:szCs w:val="22"/>
              </w:rPr>
              <w:t>0</w:t>
            </w:r>
          </w:p>
        </w:tc>
        <w:tc>
          <w:tcPr>
            <w:tcW w:w="1170" w:type="dxa"/>
            <w:tcBorders>
              <w:top w:val="nil"/>
              <w:left w:val="nil"/>
              <w:bottom w:val="single" w:sz="4" w:space="0" w:color="auto"/>
              <w:right w:val="single" w:sz="4" w:space="0" w:color="auto"/>
            </w:tcBorders>
            <w:shd w:val="clear" w:color="auto" w:fill="auto"/>
            <w:vAlign w:val="bottom"/>
            <w:hideMark/>
          </w:tcPr>
          <w:p w:rsidR="00411CBB" w:rsidRPr="00AD151D" w:rsidRDefault="00411CBB" w:rsidP="001E0315">
            <w:pPr>
              <w:keepNext/>
              <w:keepLines/>
              <w:jc w:val="right"/>
              <w:rPr>
                <w:rFonts w:ascii="Calibri" w:hAnsi="Calibri"/>
                <w:color w:val="000000"/>
                <w:sz w:val="22"/>
                <w:szCs w:val="22"/>
              </w:rPr>
            </w:pPr>
            <w:r w:rsidRPr="00AD151D">
              <w:rPr>
                <w:rFonts w:ascii="Calibri" w:hAnsi="Calibri"/>
                <w:color w:val="000000"/>
                <w:sz w:val="22"/>
                <w:szCs w:val="22"/>
              </w:rPr>
              <w:t>0%</w:t>
            </w:r>
          </w:p>
        </w:tc>
        <w:tc>
          <w:tcPr>
            <w:tcW w:w="1350" w:type="dxa"/>
            <w:tcBorders>
              <w:top w:val="nil"/>
              <w:left w:val="nil"/>
              <w:bottom w:val="single" w:sz="4" w:space="0" w:color="auto"/>
              <w:right w:val="single" w:sz="4" w:space="0" w:color="auto"/>
            </w:tcBorders>
            <w:shd w:val="clear" w:color="auto" w:fill="auto"/>
            <w:vAlign w:val="bottom"/>
            <w:hideMark/>
          </w:tcPr>
          <w:p w:rsidR="00411CBB" w:rsidRPr="00AD151D" w:rsidRDefault="00411CBB" w:rsidP="001E0315">
            <w:pPr>
              <w:keepNext/>
              <w:keepLines/>
              <w:jc w:val="right"/>
              <w:rPr>
                <w:rFonts w:ascii="Calibri" w:hAnsi="Calibri"/>
                <w:color w:val="000000"/>
                <w:sz w:val="22"/>
                <w:szCs w:val="22"/>
              </w:rPr>
            </w:pPr>
            <w:r w:rsidRPr="00AD151D">
              <w:rPr>
                <w:rFonts w:ascii="Calibri" w:hAnsi="Calibri"/>
                <w:color w:val="000000"/>
                <w:sz w:val="22"/>
                <w:szCs w:val="22"/>
              </w:rPr>
              <w:t>0%</w:t>
            </w:r>
          </w:p>
        </w:tc>
      </w:tr>
      <w:tr w:rsidR="00411CBB" w:rsidRPr="00AD151D" w:rsidTr="00095495">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411CBB" w:rsidRPr="00AD151D" w:rsidRDefault="00411CBB" w:rsidP="00E02059">
            <w:pPr>
              <w:keepNext/>
              <w:keepLines/>
              <w:rPr>
                <w:rFonts w:ascii="Calibri" w:hAnsi="Calibri"/>
                <w:color w:val="000000"/>
                <w:sz w:val="22"/>
                <w:szCs w:val="22"/>
              </w:rPr>
            </w:pPr>
            <w:r w:rsidRPr="00AD151D">
              <w:rPr>
                <w:rFonts w:ascii="Calibri" w:hAnsi="Calibri"/>
                <w:color w:val="000000"/>
                <w:sz w:val="22"/>
                <w:szCs w:val="22"/>
              </w:rPr>
              <w:t>L</w:t>
            </w:r>
            <w:r w:rsidR="00E02059">
              <w:rPr>
                <w:rFonts w:ascii="Calibri" w:hAnsi="Calibri"/>
                <w:color w:val="000000"/>
                <w:sz w:val="22"/>
                <w:szCs w:val="22"/>
              </w:rPr>
              <w:t>A</w:t>
            </w:r>
            <w:r w:rsidRPr="00AD151D">
              <w:rPr>
                <w:rFonts w:ascii="Calibri" w:hAnsi="Calibri"/>
                <w:color w:val="000000"/>
                <w:sz w:val="22"/>
                <w:szCs w:val="22"/>
              </w:rPr>
              <w:t xml:space="preserve"> Basin</w:t>
            </w:r>
          </w:p>
        </w:tc>
        <w:tc>
          <w:tcPr>
            <w:tcW w:w="1170" w:type="dxa"/>
            <w:tcBorders>
              <w:top w:val="nil"/>
              <w:left w:val="nil"/>
              <w:bottom w:val="single" w:sz="4" w:space="0" w:color="auto"/>
              <w:right w:val="single" w:sz="4" w:space="0" w:color="auto"/>
            </w:tcBorders>
            <w:shd w:val="clear" w:color="auto" w:fill="auto"/>
            <w:noWrap/>
            <w:vAlign w:val="bottom"/>
            <w:hideMark/>
          </w:tcPr>
          <w:p w:rsidR="00411CBB" w:rsidRPr="00AD151D" w:rsidRDefault="00411CBB" w:rsidP="001E0315">
            <w:pPr>
              <w:keepNext/>
              <w:keepLines/>
              <w:jc w:val="right"/>
              <w:rPr>
                <w:rFonts w:ascii="Calibri" w:hAnsi="Calibri"/>
                <w:color w:val="000000"/>
                <w:sz w:val="22"/>
                <w:szCs w:val="22"/>
              </w:rPr>
            </w:pPr>
            <w:r w:rsidRPr="00AD151D">
              <w:rPr>
                <w:rFonts w:ascii="Calibri" w:hAnsi="Calibri"/>
                <w:color w:val="000000"/>
                <w:sz w:val="22"/>
                <w:szCs w:val="22"/>
              </w:rPr>
              <w:t>613029</w:t>
            </w:r>
          </w:p>
        </w:tc>
        <w:tc>
          <w:tcPr>
            <w:tcW w:w="1170" w:type="dxa"/>
            <w:tcBorders>
              <w:top w:val="nil"/>
              <w:left w:val="nil"/>
              <w:bottom w:val="single" w:sz="4" w:space="0" w:color="auto"/>
              <w:right w:val="single" w:sz="4" w:space="0" w:color="auto"/>
            </w:tcBorders>
            <w:shd w:val="clear" w:color="auto" w:fill="auto"/>
            <w:noWrap/>
            <w:vAlign w:val="bottom"/>
            <w:hideMark/>
          </w:tcPr>
          <w:p w:rsidR="00411CBB" w:rsidRPr="00AD151D" w:rsidRDefault="00411CBB" w:rsidP="001E0315">
            <w:pPr>
              <w:keepNext/>
              <w:keepLines/>
              <w:jc w:val="right"/>
              <w:rPr>
                <w:rFonts w:ascii="Calibri" w:hAnsi="Calibri"/>
                <w:color w:val="000000"/>
                <w:sz w:val="22"/>
                <w:szCs w:val="22"/>
              </w:rPr>
            </w:pPr>
            <w:r w:rsidRPr="00AD151D">
              <w:rPr>
                <w:rFonts w:ascii="Calibri" w:hAnsi="Calibri"/>
                <w:color w:val="000000"/>
                <w:sz w:val="22"/>
                <w:szCs w:val="22"/>
              </w:rPr>
              <w:t>594294</w:t>
            </w:r>
          </w:p>
        </w:tc>
        <w:tc>
          <w:tcPr>
            <w:tcW w:w="1170" w:type="dxa"/>
            <w:tcBorders>
              <w:top w:val="nil"/>
              <w:left w:val="nil"/>
              <w:bottom w:val="single" w:sz="4" w:space="0" w:color="auto"/>
              <w:right w:val="single" w:sz="4" w:space="0" w:color="auto"/>
            </w:tcBorders>
            <w:shd w:val="clear" w:color="auto" w:fill="auto"/>
            <w:vAlign w:val="bottom"/>
            <w:hideMark/>
          </w:tcPr>
          <w:p w:rsidR="00411CBB" w:rsidRPr="00AD151D" w:rsidRDefault="00411CBB" w:rsidP="001E0315">
            <w:pPr>
              <w:keepNext/>
              <w:keepLines/>
              <w:jc w:val="right"/>
              <w:rPr>
                <w:rFonts w:ascii="Calibri" w:hAnsi="Calibri"/>
                <w:color w:val="000000"/>
                <w:sz w:val="22"/>
                <w:szCs w:val="22"/>
              </w:rPr>
            </w:pPr>
            <w:r w:rsidRPr="00AD151D">
              <w:rPr>
                <w:rFonts w:ascii="Calibri" w:hAnsi="Calibri"/>
                <w:color w:val="000000"/>
                <w:sz w:val="22"/>
                <w:szCs w:val="22"/>
              </w:rPr>
              <w:t>3%</w:t>
            </w:r>
          </w:p>
        </w:tc>
        <w:tc>
          <w:tcPr>
            <w:tcW w:w="1350" w:type="dxa"/>
            <w:tcBorders>
              <w:top w:val="nil"/>
              <w:left w:val="nil"/>
              <w:bottom w:val="single" w:sz="4" w:space="0" w:color="auto"/>
              <w:right w:val="single" w:sz="4" w:space="0" w:color="auto"/>
            </w:tcBorders>
            <w:shd w:val="clear" w:color="auto" w:fill="auto"/>
            <w:vAlign w:val="bottom"/>
            <w:hideMark/>
          </w:tcPr>
          <w:p w:rsidR="00411CBB" w:rsidRPr="00AD151D" w:rsidRDefault="00411CBB" w:rsidP="001E0315">
            <w:pPr>
              <w:keepNext/>
              <w:keepLines/>
              <w:jc w:val="right"/>
              <w:rPr>
                <w:rFonts w:ascii="Calibri" w:hAnsi="Calibri"/>
                <w:color w:val="000000"/>
                <w:sz w:val="22"/>
                <w:szCs w:val="22"/>
              </w:rPr>
            </w:pPr>
            <w:r w:rsidRPr="00AD151D">
              <w:rPr>
                <w:rFonts w:ascii="Calibri" w:hAnsi="Calibri"/>
                <w:color w:val="000000"/>
                <w:sz w:val="22"/>
                <w:szCs w:val="22"/>
              </w:rPr>
              <w:t>47%</w:t>
            </w:r>
          </w:p>
        </w:tc>
      </w:tr>
      <w:tr w:rsidR="00411CBB" w:rsidRPr="00AD151D" w:rsidTr="00095495">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411CBB" w:rsidRPr="00AD151D" w:rsidRDefault="00411CBB" w:rsidP="001E0315">
            <w:pPr>
              <w:keepNext/>
              <w:keepLines/>
              <w:rPr>
                <w:rFonts w:ascii="Calibri" w:hAnsi="Calibri"/>
                <w:color w:val="000000"/>
                <w:sz w:val="22"/>
                <w:szCs w:val="22"/>
              </w:rPr>
            </w:pPr>
            <w:r w:rsidRPr="00AD151D">
              <w:rPr>
                <w:rFonts w:ascii="Calibri" w:hAnsi="Calibri"/>
                <w:color w:val="000000"/>
                <w:sz w:val="22"/>
                <w:szCs w:val="22"/>
              </w:rPr>
              <w:t>NCNB</w:t>
            </w:r>
          </w:p>
        </w:tc>
        <w:tc>
          <w:tcPr>
            <w:tcW w:w="1170" w:type="dxa"/>
            <w:tcBorders>
              <w:top w:val="nil"/>
              <w:left w:val="nil"/>
              <w:bottom w:val="single" w:sz="4" w:space="0" w:color="auto"/>
              <w:right w:val="single" w:sz="4" w:space="0" w:color="auto"/>
            </w:tcBorders>
            <w:shd w:val="clear" w:color="auto" w:fill="auto"/>
            <w:noWrap/>
            <w:vAlign w:val="bottom"/>
            <w:hideMark/>
          </w:tcPr>
          <w:p w:rsidR="00411CBB" w:rsidRPr="00AD151D" w:rsidRDefault="00411CBB" w:rsidP="001E0315">
            <w:pPr>
              <w:keepNext/>
              <w:keepLines/>
              <w:jc w:val="right"/>
              <w:rPr>
                <w:rFonts w:ascii="Calibri" w:hAnsi="Calibri"/>
                <w:color w:val="000000"/>
                <w:sz w:val="22"/>
                <w:szCs w:val="22"/>
              </w:rPr>
            </w:pPr>
            <w:r w:rsidRPr="00AD151D">
              <w:rPr>
                <w:rFonts w:ascii="Calibri" w:hAnsi="Calibri"/>
                <w:color w:val="000000"/>
                <w:sz w:val="22"/>
                <w:szCs w:val="22"/>
              </w:rPr>
              <w:t>949</w:t>
            </w:r>
          </w:p>
        </w:tc>
        <w:tc>
          <w:tcPr>
            <w:tcW w:w="1170" w:type="dxa"/>
            <w:tcBorders>
              <w:top w:val="nil"/>
              <w:left w:val="nil"/>
              <w:bottom w:val="single" w:sz="4" w:space="0" w:color="auto"/>
              <w:right w:val="single" w:sz="4" w:space="0" w:color="auto"/>
            </w:tcBorders>
            <w:shd w:val="clear" w:color="auto" w:fill="auto"/>
            <w:noWrap/>
            <w:vAlign w:val="bottom"/>
            <w:hideMark/>
          </w:tcPr>
          <w:p w:rsidR="00411CBB" w:rsidRPr="00AD151D" w:rsidRDefault="00411CBB" w:rsidP="001E0315">
            <w:pPr>
              <w:keepNext/>
              <w:keepLines/>
              <w:jc w:val="right"/>
              <w:rPr>
                <w:rFonts w:ascii="Calibri" w:hAnsi="Calibri"/>
                <w:color w:val="000000"/>
                <w:sz w:val="22"/>
                <w:szCs w:val="22"/>
              </w:rPr>
            </w:pPr>
            <w:r w:rsidRPr="00AD151D">
              <w:rPr>
                <w:rFonts w:ascii="Calibri" w:hAnsi="Calibri"/>
                <w:color w:val="000000"/>
                <w:sz w:val="22"/>
                <w:szCs w:val="22"/>
              </w:rPr>
              <w:t>4151</w:t>
            </w:r>
          </w:p>
        </w:tc>
        <w:tc>
          <w:tcPr>
            <w:tcW w:w="1170" w:type="dxa"/>
            <w:tcBorders>
              <w:top w:val="nil"/>
              <w:left w:val="nil"/>
              <w:bottom w:val="single" w:sz="4" w:space="0" w:color="auto"/>
              <w:right w:val="single" w:sz="4" w:space="0" w:color="auto"/>
            </w:tcBorders>
            <w:shd w:val="clear" w:color="auto" w:fill="auto"/>
            <w:vAlign w:val="bottom"/>
            <w:hideMark/>
          </w:tcPr>
          <w:p w:rsidR="00411CBB" w:rsidRPr="00AD151D" w:rsidRDefault="00411CBB" w:rsidP="001E0315">
            <w:pPr>
              <w:keepNext/>
              <w:keepLines/>
              <w:jc w:val="right"/>
              <w:rPr>
                <w:rFonts w:ascii="Calibri" w:hAnsi="Calibri"/>
                <w:color w:val="000000"/>
                <w:sz w:val="22"/>
                <w:szCs w:val="22"/>
              </w:rPr>
            </w:pPr>
            <w:r w:rsidRPr="00AD151D">
              <w:rPr>
                <w:rFonts w:ascii="Calibri" w:hAnsi="Calibri"/>
                <w:color w:val="000000"/>
                <w:sz w:val="22"/>
                <w:szCs w:val="22"/>
              </w:rPr>
              <w:t>-77%</w:t>
            </w:r>
          </w:p>
        </w:tc>
        <w:tc>
          <w:tcPr>
            <w:tcW w:w="1350" w:type="dxa"/>
            <w:tcBorders>
              <w:top w:val="nil"/>
              <w:left w:val="nil"/>
              <w:bottom w:val="single" w:sz="4" w:space="0" w:color="auto"/>
              <w:right w:val="single" w:sz="4" w:space="0" w:color="auto"/>
            </w:tcBorders>
            <w:shd w:val="clear" w:color="auto" w:fill="auto"/>
            <w:vAlign w:val="bottom"/>
            <w:hideMark/>
          </w:tcPr>
          <w:p w:rsidR="00411CBB" w:rsidRPr="00AD151D" w:rsidRDefault="00411CBB" w:rsidP="001E0315">
            <w:pPr>
              <w:keepNext/>
              <w:keepLines/>
              <w:jc w:val="right"/>
              <w:rPr>
                <w:rFonts w:ascii="Calibri" w:hAnsi="Calibri"/>
                <w:color w:val="000000"/>
                <w:sz w:val="22"/>
                <w:szCs w:val="22"/>
              </w:rPr>
            </w:pPr>
            <w:r w:rsidRPr="00AD151D">
              <w:rPr>
                <w:rFonts w:ascii="Calibri" w:hAnsi="Calibri"/>
                <w:color w:val="000000"/>
                <w:sz w:val="22"/>
                <w:szCs w:val="22"/>
              </w:rPr>
              <w:t>0%</w:t>
            </w:r>
          </w:p>
        </w:tc>
      </w:tr>
      <w:tr w:rsidR="00411CBB" w:rsidRPr="00AD151D" w:rsidTr="00095495">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411CBB" w:rsidRPr="00AD151D" w:rsidRDefault="00411CBB" w:rsidP="001E0315">
            <w:pPr>
              <w:keepNext/>
              <w:keepLines/>
              <w:rPr>
                <w:rFonts w:ascii="Calibri" w:hAnsi="Calibri"/>
                <w:color w:val="000000"/>
                <w:sz w:val="22"/>
                <w:szCs w:val="22"/>
              </w:rPr>
            </w:pPr>
            <w:r w:rsidRPr="00AD151D">
              <w:rPr>
                <w:rFonts w:ascii="Calibri" w:hAnsi="Calibri"/>
                <w:color w:val="000000"/>
                <w:sz w:val="22"/>
                <w:szCs w:val="22"/>
              </w:rPr>
              <w:t>San Diego</w:t>
            </w:r>
          </w:p>
        </w:tc>
        <w:tc>
          <w:tcPr>
            <w:tcW w:w="1170" w:type="dxa"/>
            <w:tcBorders>
              <w:top w:val="nil"/>
              <w:left w:val="nil"/>
              <w:bottom w:val="single" w:sz="4" w:space="0" w:color="auto"/>
              <w:right w:val="single" w:sz="4" w:space="0" w:color="auto"/>
            </w:tcBorders>
            <w:shd w:val="clear" w:color="auto" w:fill="auto"/>
            <w:noWrap/>
            <w:vAlign w:val="bottom"/>
            <w:hideMark/>
          </w:tcPr>
          <w:p w:rsidR="00411CBB" w:rsidRPr="00AD151D" w:rsidRDefault="00411CBB" w:rsidP="001E0315">
            <w:pPr>
              <w:keepNext/>
              <w:keepLines/>
              <w:jc w:val="right"/>
              <w:rPr>
                <w:rFonts w:ascii="Calibri" w:hAnsi="Calibri"/>
                <w:color w:val="000000"/>
                <w:sz w:val="22"/>
                <w:szCs w:val="22"/>
              </w:rPr>
            </w:pPr>
            <w:r w:rsidRPr="00AD151D">
              <w:rPr>
                <w:rFonts w:ascii="Calibri" w:hAnsi="Calibri"/>
                <w:color w:val="000000"/>
                <w:sz w:val="22"/>
                <w:szCs w:val="22"/>
              </w:rPr>
              <w:t>197319</w:t>
            </w:r>
          </w:p>
        </w:tc>
        <w:tc>
          <w:tcPr>
            <w:tcW w:w="1170" w:type="dxa"/>
            <w:tcBorders>
              <w:top w:val="nil"/>
              <w:left w:val="nil"/>
              <w:bottom w:val="single" w:sz="4" w:space="0" w:color="auto"/>
              <w:right w:val="single" w:sz="4" w:space="0" w:color="auto"/>
            </w:tcBorders>
            <w:shd w:val="clear" w:color="auto" w:fill="auto"/>
            <w:noWrap/>
            <w:vAlign w:val="bottom"/>
            <w:hideMark/>
          </w:tcPr>
          <w:p w:rsidR="00411CBB" w:rsidRPr="00AD151D" w:rsidRDefault="00411CBB" w:rsidP="001E0315">
            <w:pPr>
              <w:keepNext/>
              <w:keepLines/>
              <w:jc w:val="right"/>
              <w:rPr>
                <w:rFonts w:ascii="Calibri" w:hAnsi="Calibri"/>
                <w:color w:val="000000"/>
                <w:sz w:val="22"/>
                <w:szCs w:val="22"/>
              </w:rPr>
            </w:pPr>
            <w:r w:rsidRPr="00AD151D">
              <w:rPr>
                <w:rFonts w:ascii="Calibri" w:hAnsi="Calibri"/>
                <w:color w:val="000000"/>
                <w:sz w:val="22"/>
                <w:szCs w:val="22"/>
              </w:rPr>
              <w:t>259887</w:t>
            </w:r>
          </w:p>
        </w:tc>
        <w:tc>
          <w:tcPr>
            <w:tcW w:w="1170" w:type="dxa"/>
            <w:tcBorders>
              <w:top w:val="nil"/>
              <w:left w:val="nil"/>
              <w:bottom w:val="single" w:sz="4" w:space="0" w:color="auto"/>
              <w:right w:val="single" w:sz="4" w:space="0" w:color="auto"/>
            </w:tcBorders>
            <w:shd w:val="clear" w:color="auto" w:fill="auto"/>
            <w:vAlign w:val="bottom"/>
            <w:hideMark/>
          </w:tcPr>
          <w:p w:rsidR="00411CBB" w:rsidRPr="00AD151D" w:rsidRDefault="00411CBB" w:rsidP="001E0315">
            <w:pPr>
              <w:keepNext/>
              <w:keepLines/>
              <w:jc w:val="right"/>
              <w:rPr>
                <w:rFonts w:ascii="Calibri" w:hAnsi="Calibri"/>
                <w:color w:val="000000"/>
                <w:sz w:val="22"/>
                <w:szCs w:val="22"/>
              </w:rPr>
            </w:pPr>
            <w:r w:rsidRPr="00AD151D">
              <w:rPr>
                <w:rFonts w:ascii="Calibri" w:hAnsi="Calibri"/>
                <w:color w:val="000000"/>
                <w:sz w:val="22"/>
                <w:szCs w:val="22"/>
              </w:rPr>
              <w:t>-24%</w:t>
            </w:r>
          </w:p>
        </w:tc>
        <w:tc>
          <w:tcPr>
            <w:tcW w:w="1350" w:type="dxa"/>
            <w:tcBorders>
              <w:top w:val="nil"/>
              <w:left w:val="nil"/>
              <w:bottom w:val="single" w:sz="4" w:space="0" w:color="auto"/>
              <w:right w:val="single" w:sz="4" w:space="0" w:color="auto"/>
            </w:tcBorders>
            <w:shd w:val="clear" w:color="auto" w:fill="auto"/>
            <w:vAlign w:val="bottom"/>
            <w:hideMark/>
          </w:tcPr>
          <w:p w:rsidR="00411CBB" w:rsidRPr="00AD151D" w:rsidRDefault="00411CBB" w:rsidP="001E0315">
            <w:pPr>
              <w:keepNext/>
              <w:keepLines/>
              <w:jc w:val="right"/>
              <w:rPr>
                <w:rFonts w:ascii="Calibri" w:hAnsi="Calibri"/>
                <w:color w:val="000000"/>
                <w:sz w:val="22"/>
                <w:szCs w:val="22"/>
              </w:rPr>
            </w:pPr>
            <w:r w:rsidRPr="00AD151D">
              <w:rPr>
                <w:rFonts w:ascii="Calibri" w:hAnsi="Calibri"/>
                <w:color w:val="000000"/>
                <w:sz w:val="22"/>
                <w:szCs w:val="22"/>
              </w:rPr>
              <w:t>15%</w:t>
            </w:r>
          </w:p>
        </w:tc>
      </w:tr>
      <w:tr w:rsidR="00411CBB" w:rsidRPr="00AD151D" w:rsidTr="00095495">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411CBB" w:rsidRPr="00AD151D" w:rsidRDefault="00411CBB" w:rsidP="001E0315">
            <w:pPr>
              <w:keepNext/>
              <w:keepLines/>
              <w:rPr>
                <w:rFonts w:ascii="Calibri" w:hAnsi="Calibri"/>
                <w:color w:val="000000"/>
                <w:sz w:val="22"/>
                <w:szCs w:val="22"/>
              </w:rPr>
            </w:pPr>
            <w:r w:rsidRPr="00AD151D">
              <w:rPr>
                <w:rFonts w:ascii="Calibri" w:hAnsi="Calibri"/>
                <w:color w:val="000000"/>
                <w:sz w:val="22"/>
                <w:szCs w:val="22"/>
              </w:rPr>
              <w:t>Sierra</w:t>
            </w:r>
          </w:p>
        </w:tc>
        <w:tc>
          <w:tcPr>
            <w:tcW w:w="1170" w:type="dxa"/>
            <w:tcBorders>
              <w:top w:val="nil"/>
              <w:left w:val="nil"/>
              <w:bottom w:val="single" w:sz="4" w:space="0" w:color="auto"/>
              <w:right w:val="single" w:sz="4" w:space="0" w:color="auto"/>
            </w:tcBorders>
            <w:shd w:val="clear" w:color="auto" w:fill="auto"/>
            <w:noWrap/>
            <w:vAlign w:val="bottom"/>
            <w:hideMark/>
          </w:tcPr>
          <w:p w:rsidR="00411CBB" w:rsidRPr="00AD151D" w:rsidRDefault="00411CBB" w:rsidP="001E0315">
            <w:pPr>
              <w:keepNext/>
              <w:keepLines/>
              <w:jc w:val="right"/>
              <w:rPr>
                <w:rFonts w:ascii="Calibri" w:hAnsi="Calibri"/>
                <w:color w:val="000000"/>
                <w:sz w:val="22"/>
                <w:szCs w:val="22"/>
              </w:rPr>
            </w:pPr>
            <w:r w:rsidRPr="00AD151D">
              <w:rPr>
                <w:rFonts w:ascii="Calibri" w:hAnsi="Calibri"/>
                <w:color w:val="000000"/>
                <w:sz w:val="22"/>
                <w:szCs w:val="22"/>
              </w:rPr>
              <w:t>9917</w:t>
            </w:r>
          </w:p>
        </w:tc>
        <w:tc>
          <w:tcPr>
            <w:tcW w:w="1170" w:type="dxa"/>
            <w:tcBorders>
              <w:top w:val="nil"/>
              <w:left w:val="nil"/>
              <w:bottom w:val="single" w:sz="4" w:space="0" w:color="auto"/>
              <w:right w:val="single" w:sz="4" w:space="0" w:color="auto"/>
            </w:tcBorders>
            <w:shd w:val="clear" w:color="auto" w:fill="auto"/>
            <w:noWrap/>
            <w:vAlign w:val="bottom"/>
            <w:hideMark/>
          </w:tcPr>
          <w:p w:rsidR="00411CBB" w:rsidRPr="00AD151D" w:rsidRDefault="00411CBB" w:rsidP="001E0315">
            <w:pPr>
              <w:keepNext/>
              <w:keepLines/>
              <w:jc w:val="right"/>
              <w:rPr>
                <w:rFonts w:ascii="Calibri" w:hAnsi="Calibri"/>
                <w:color w:val="000000"/>
                <w:sz w:val="22"/>
                <w:szCs w:val="22"/>
              </w:rPr>
            </w:pPr>
            <w:r w:rsidRPr="00AD151D">
              <w:rPr>
                <w:rFonts w:ascii="Calibri" w:hAnsi="Calibri"/>
                <w:color w:val="000000"/>
                <w:sz w:val="22"/>
                <w:szCs w:val="22"/>
              </w:rPr>
              <w:t>40633</w:t>
            </w:r>
          </w:p>
        </w:tc>
        <w:tc>
          <w:tcPr>
            <w:tcW w:w="1170" w:type="dxa"/>
            <w:tcBorders>
              <w:top w:val="nil"/>
              <w:left w:val="nil"/>
              <w:bottom w:val="single" w:sz="4" w:space="0" w:color="auto"/>
              <w:right w:val="single" w:sz="4" w:space="0" w:color="auto"/>
            </w:tcBorders>
            <w:shd w:val="clear" w:color="auto" w:fill="auto"/>
            <w:vAlign w:val="bottom"/>
            <w:hideMark/>
          </w:tcPr>
          <w:p w:rsidR="00411CBB" w:rsidRPr="00AD151D" w:rsidRDefault="00411CBB" w:rsidP="001E0315">
            <w:pPr>
              <w:keepNext/>
              <w:keepLines/>
              <w:jc w:val="right"/>
              <w:rPr>
                <w:rFonts w:ascii="Calibri" w:hAnsi="Calibri"/>
                <w:color w:val="000000"/>
                <w:sz w:val="22"/>
                <w:szCs w:val="22"/>
              </w:rPr>
            </w:pPr>
            <w:r w:rsidRPr="00AD151D">
              <w:rPr>
                <w:rFonts w:ascii="Calibri" w:hAnsi="Calibri"/>
                <w:color w:val="000000"/>
                <w:sz w:val="22"/>
                <w:szCs w:val="22"/>
              </w:rPr>
              <w:t>-76%</w:t>
            </w:r>
          </w:p>
        </w:tc>
        <w:tc>
          <w:tcPr>
            <w:tcW w:w="1350" w:type="dxa"/>
            <w:tcBorders>
              <w:top w:val="nil"/>
              <w:left w:val="nil"/>
              <w:bottom w:val="single" w:sz="4" w:space="0" w:color="auto"/>
              <w:right w:val="single" w:sz="4" w:space="0" w:color="auto"/>
            </w:tcBorders>
            <w:shd w:val="clear" w:color="auto" w:fill="auto"/>
            <w:vAlign w:val="bottom"/>
            <w:hideMark/>
          </w:tcPr>
          <w:p w:rsidR="00411CBB" w:rsidRPr="00AD151D" w:rsidRDefault="00411CBB" w:rsidP="001E0315">
            <w:pPr>
              <w:keepNext/>
              <w:keepLines/>
              <w:jc w:val="right"/>
              <w:rPr>
                <w:rFonts w:ascii="Calibri" w:hAnsi="Calibri"/>
                <w:color w:val="000000"/>
                <w:sz w:val="22"/>
                <w:szCs w:val="22"/>
              </w:rPr>
            </w:pPr>
            <w:r w:rsidRPr="00AD151D">
              <w:rPr>
                <w:rFonts w:ascii="Calibri" w:hAnsi="Calibri"/>
                <w:color w:val="000000"/>
                <w:sz w:val="22"/>
                <w:szCs w:val="22"/>
              </w:rPr>
              <w:t>1%</w:t>
            </w:r>
          </w:p>
        </w:tc>
      </w:tr>
      <w:tr w:rsidR="00411CBB" w:rsidRPr="00AD151D" w:rsidTr="00095495">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411CBB" w:rsidRPr="00AD151D" w:rsidRDefault="00411CBB" w:rsidP="001E0315">
            <w:pPr>
              <w:keepNext/>
              <w:keepLines/>
              <w:rPr>
                <w:rFonts w:ascii="Calibri" w:hAnsi="Calibri"/>
                <w:color w:val="000000"/>
                <w:sz w:val="22"/>
                <w:szCs w:val="22"/>
              </w:rPr>
            </w:pPr>
            <w:r w:rsidRPr="00AD151D">
              <w:rPr>
                <w:rFonts w:ascii="Calibri" w:hAnsi="Calibri"/>
                <w:color w:val="000000"/>
                <w:sz w:val="22"/>
                <w:szCs w:val="22"/>
              </w:rPr>
              <w:t>Stockton</w:t>
            </w:r>
          </w:p>
        </w:tc>
        <w:tc>
          <w:tcPr>
            <w:tcW w:w="1170" w:type="dxa"/>
            <w:tcBorders>
              <w:top w:val="nil"/>
              <w:left w:val="nil"/>
              <w:bottom w:val="single" w:sz="4" w:space="0" w:color="auto"/>
              <w:right w:val="single" w:sz="4" w:space="0" w:color="auto"/>
            </w:tcBorders>
            <w:shd w:val="clear" w:color="auto" w:fill="auto"/>
            <w:noWrap/>
            <w:vAlign w:val="bottom"/>
            <w:hideMark/>
          </w:tcPr>
          <w:p w:rsidR="00411CBB" w:rsidRPr="00AD151D" w:rsidRDefault="00411CBB" w:rsidP="001E0315">
            <w:pPr>
              <w:keepNext/>
              <w:keepLines/>
              <w:jc w:val="right"/>
              <w:rPr>
                <w:rFonts w:ascii="Calibri" w:hAnsi="Calibri"/>
                <w:color w:val="000000"/>
                <w:sz w:val="22"/>
                <w:szCs w:val="22"/>
              </w:rPr>
            </w:pPr>
            <w:r w:rsidRPr="00AD151D">
              <w:rPr>
                <w:rFonts w:ascii="Calibri" w:hAnsi="Calibri"/>
                <w:color w:val="000000"/>
                <w:sz w:val="22"/>
                <w:szCs w:val="22"/>
              </w:rPr>
              <w:t>50530</w:t>
            </w:r>
          </w:p>
        </w:tc>
        <w:tc>
          <w:tcPr>
            <w:tcW w:w="1170" w:type="dxa"/>
            <w:tcBorders>
              <w:top w:val="nil"/>
              <w:left w:val="nil"/>
              <w:bottom w:val="single" w:sz="4" w:space="0" w:color="auto"/>
              <w:right w:val="single" w:sz="4" w:space="0" w:color="auto"/>
            </w:tcBorders>
            <w:shd w:val="clear" w:color="auto" w:fill="auto"/>
            <w:noWrap/>
            <w:vAlign w:val="bottom"/>
            <w:hideMark/>
          </w:tcPr>
          <w:p w:rsidR="00411CBB" w:rsidRPr="00AD151D" w:rsidRDefault="00411CBB" w:rsidP="001E0315">
            <w:pPr>
              <w:keepNext/>
              <w:keepLines/>
              <w:jc w:val="right"/>
              <w:rPr>
                <w:rFonts w:ascii="Calibri" w:hAnsi="Calibri"/>
                <w:color w:val="000000"/>
                <w:sz w:val="22"/>
                <w:szCs w:val="22"/>
              </w:rPr>
            </w:pPr>
            <w:r w:rsidRPr="00AD151D">
              <w:rPr>
                <w:rFonts w:ascii="Calibri" w:hAnsi="Calibri"/>
                <w:color w:val="000000"/>
                <w:sz w:val="22"/>
                <w:szCs w:val="22"/>
              </w:rPr>
              <w:t>410</w:t>
            </w:r>
          </w:p>
        </w:tc>
        <w:tc>
          <w:tcPr>
            <w:tcW w:w="1170" w:type="dxa"/>
            <w:tcBorders>
              <w:top w:val="nil"/>
              <w:left w:val="nil"/>
              <w:bottom w:val="single" w:sz="4" w:space="0" w:color="auto"/>
              <w:right w:val="single" w:sz="4" w:space="0" w:color="auto"/>
            </w:tcBorders>
            <w:shd w:val="clear" w:color="auto" w:fill="auto"/>
            <w:vAlign w:val="bottom"/>
            <w:hideMark/>
          </w:tcPr>
          <w:p w:rsidR="00411CBB" w:rsidRPr="00AD151D" w:rsidRDefault="00411CBB" w:rsidP="001E0315">
            <w:pPr>
              <w:keepNext/>
              <w:keepLines/>
              <w:jc w:val="right"/>
              <w:rPr>
                <w:rFonts w:ascii="Calibri" w:hAnsi="Calibri"/>
                <w:color w:val="000000"/>
                <w:sz w:val="22"/>
                <w:szCs w:val="22"/>
              </w:rPr>
            </w:pPr>
            <w:r w:rsidRPr="00AD151D">
              <w:rPr>
                <w:rFonts w:ascii="Calibri" w:hAnsi="Calibri"/>
                <w:color w:val="000000"/>
                <w:sz w:val="22"/>
                <w:szCs w:val="22"/>
              </w:rPr>
              <w:t>12230%</w:t>
            </w:r>
          </w:p>
        </w:tc>
        <w:tc>
          <w:tcPr>
            <w:tcW w:w="1350" w:type="dxa"/>
            <w:tcBorders>
              <w:top w:val="nil"/>
              <w:left w:val="nil"/>
              <w:bottom w:val="single" w:sz="4" w:space="0" w:color="auto"/>
              <w:right w:val="single" w:sz="4" w:space="0" w:color="auto"/>
            </w:tcBorders>
            <w:shd w:val="clear" w:color="auto" w:fill="auto"/>
            <w:vAlign w:val="bottom"/>
            <w:hideMark/>
          </w:tcPr>
          <w:p w:rsidR="00411CBB" w:rsidRPr="00AD151D" w:rsidRDefault="00411CBB" w:rsidP="001E0315">
            <w:pPr>
              <w:keepNext/>
              <w:keepLines/>
              <w:jc w:val="right"/>
              <w:rPr>
                <w:rFonts w:ascii="Calibri" w:hAnsi="Calibri"/>
                <w:color w:val="000000"/>
                <w:sz w:val="22"/>
                <w:szCs w:val="22"/>
              </w:rPr>
            </w:pPr>
            <w:r w:rsidRPr="00AD151D">
              <w:rPr>
                <w:rFonts w:ascii="Calibri" w:hAnsi="Calibri"/>
                <w:color w:val="000000"/>
                <w:sz w:val="22"/>
                <w:szCs w:val="22"/>
              </w:rPr>
              <w:t>4%</w:t>
            </w:r>
          </w:p>
        </w:tc>
      </w:tr>
      <w:tr w:rsidR="00411CBB" w:rsidRPr="00AD151D" w:rsidTr="00095495">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411CBB" w:rsidRPr="00AD151D" w:rsidRDefault="00411CBB" w:rsidP="001E0315">
            <w:pPr>
              <w:keepNext/>
              <w:keepLines/>
              <w:rPr>
                <w:rFonts w:ascii="Calibri" w:hAnsi="Calibri"/>
                <w:color w:val="000000"/>
                <w:sz w:val="22"/>
                <w:szCs w:val="22"/>
              </w:rPr>
            </w:pPr>
            <w:r w:rsidRPr="00AD151D">
              <w:rPr>
                <w:rFonts w:ascii="Calibri" w:hAnsi="Calibri"/>
                <w:color w:val="000000"/>
                <w:sz w:val="22"/>
                <w:szCs w:val="22"/>
              </w:rPr>
              <w:t>CAISO System</w:t>
            </w:r>
          </w:p>
        </w:tc>
        <w:tc>
          <w:tcPr>
            <w:tcW w:w="1170" w:type="dxa"/>
            <w:tcBorders>
              <w:top w:val="nil"/>
              <w:left w:val="nil"/>
              <w:bottom w:val="single" w:sz="4" w:space="0" w:color="auto"/>
              <w:right w:val="single" w:sz="4" w:space="0" w:color="auto"/>
            </w:tcBorders>
            <w:shd w:val="clear" w:color="auto" w:fill="auto"/>
            <w:noWrap/>
            <w:vAlign w:val="bottom"/>
            <w:hideMark/>
          </w:tcPr>
          <w:p w:rsidR="00411CBB" w:rsidRPr="00AD151D" w:rsidRDefault="00411CBB" w:rsidP="001E0315">
            <w:pPr>
              <w:keepNext/>
              <w:keepLines/>
              <w:jc w:val="right"/>
              <w:rPr>
                <w:rFonts w:ascii="Calibri" w:hAnsi="Calibri"/>
                <w:color w:val="000000"/>
                <w:sz w:val="22"/>
                <w:szCs w:val="22"/>
              </w:rPr>
            </w:pPr>
            <w:r w:rsidRPr="00AD151D">
              <w:rPr>
                <w:rFonts w:ascii="Calibri" w:hAnsi="Calibri"/>
                <w:color w:val="000000"/>
                <w:sz w:val="22"/>
                <w:szCs w:val="22"/>
              </w:rPr>
              <w:t>189618</w:t>
            </w:r>
          </w:p>
        </w:tc>
        <w:tc>
          <w:tcPr>
            <w:tcW w:w="1170" w:type="dxa"/>
            <w:tcBorders>
              <w:top w:val="nil"/>
              <w:left w:val="nil"/>
              <w:bottom w:val="single" w:sz="4" w:space="0" w:color="auto"/>
              <w:right w:val="single" w:sz="4" w:space="0" w:color="auto"/>
            </w:tcBorders>
            <w:shd w:val="clear" w:color="auto" w:fill="auto"/>
            <w:noWrap/>
            <w:vAlign w:val="bottom"/>
            <w:hideMark/>
          </w:tcPr>
          <w:p w:rsidR="00411CBB" w:rsidRPr="00AD151D" w:rsidRDefault="00411CBB" w:rsidP="001E0315">
            <w:pPr>
              <w:keepNext/>
              <w:keepLines/>
              <w:jc w:val="right"/>
              <w:rPr>
                <w:rFonts w:ascii="Calibri" w:hAnsi="Calibri"/>
                <w:color w:val="000000"/>
                <w:sz w:val="22"/>
                <w:szCs w:val="22"/>
              </w:rPr>
            </w:pPr>
            <w:r w:rsidRPr="00AD151D">
              <w:rPr>
                <w:rFonts w:ascii="Calibri" w:hAnsi="Calibri"/>
                <w:color w:val="000000"/>
                <w:sz w:val="22"/>
                <w:szCs w:val="22"/>
              </w:rPr>
              <w:t>234649</w:t>
            </w:r>
          </w:p>
        </w:tc>
        <w:tc>
          <w:tcPr>
            <w:tcW w:w="1170" w:type="dxa"/>
            <w:tcBorders>
              <w:top w:val="nil"/>
              <w:left w:val="nil"/>
              <w:bottom w:val="single" w:sz="4" w:space="0" w:color="auto"/>
              <w:right w:val="single" w:sz="4" w:space="0" w:color="auto"/>
            </w:tcBorders>
            <w:shd w:val="clear" w:color="auto" w:fill="auto"/>
            <w:vAlign w:val="bottom"/>
            <w:hideMark/>
          </w:tcPr>
          <w:p w:rsidR="00411CBB" w:rsidRPr="00AD151D" w:rsidRDefault="00411CBB" w:rsidP="001E0315">
            <w:pPr>
              <w:keepNext/>
              <w:keepLines/>
              <w:jc w:val="right"/>
              <w:rPr>
                <w:rFonts w:ascii="Calibri" w:hAnsi="Calibri"/>
                <w:color w:val="000000"/>
                <w:sz w:val="22"/>
                <w:szCs w:val="22"/>
              </w:rPr>
            </w:pPr>
            <w:r w:rsidRPr="00AD151D">
              <w:rPr>
                <w:rFonts w:ascii="Calibri" w:hAnsi="Calibri"/>
                <w:color w:val="000000"/>
                <w:sz w:val="22"/>
                <w:szCs w:val="22"/>
              </w:rPr>
              <w:t>-19%</w:t>
            </w:r>
          </w:p>
        </w:tc>
        <w:tc>
          <w:tcPr>
            <w:tcW w:w="1350" w:type="dxa"/>
            <w:tcBorders>
              <w:top w:val="nil"/>
              <w:left w:val="nil"/>
              <w:bottom w:val="single" w:sz="4" w:space="0" w:color="auto"/>
              <w:right w:val="single" w:sz="4" w:space="0" w:color="auto"/>
            </w:tcBorders>
            <w:shd w:val="clear" w:color="auto" w:fill="auto"/>
            <w:vAlign w:val="bottom"/>
            <w:hideMark/>
          </w:tcPr>
          <w:p w:rsidR="00411CBB" w:rsidRPr="00AD151D" w:rsidRDefault="00411CBB" w:rsidP="001E0315">
            <w:pPr>
              <w:keepNext/>
              <w:keepLines/>
              <w:jc w:val="right"/>
              <w:rPr>
                <w:rFonts w:ascii="Calibri" w:hAnsi="Calibri"/>
                <w:color w:val="000000"/>
                <w:sz w:val="22"/>
                <w:szCs w:val="22"/>
              </w:rPr>
            </w:pPr>
            <w:r w:rsidRPr="00AD151D">
              <w:rPr>
                <w:rFonts w:ascii="Calibri" w:hAnsi="Calibri"/>
                <w:color w:val="000000"/>
                <w:sz w:val="22"/>
                <w:szCs w:val="22"/>
              </w:rPr>
              <w:t>15%</w:t>
            </w:r>
          </w:p>
        </w:tc>
      </w:tr>
      <w:tr w:rsidR="00411CBB" w:rsidRPr="00AD151D" w:rsidTr="00095495">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411CBB" w:rsidRPr="00586B1F" w:rsidRDefault="00411CBB" w:rsidP="001E0315">
            <w:pPr>
              <w:keepNext/>
              <w:keepLines/>
              <w:rPr>
                <w:rFonts w:ascii="Calibri" w:hAnsi="Calibri"/>
                <w:b/>
                <w:color w:val="000000"/>
                <w:sz w:val="22"/>
                <w:szCs w:val="22"/>
              </w:rPr>
            </w:pPr>
            <w:r w:rsidRPr="00586B1F">
              <w:rPr>
                <w:rFonts w:ascii="Calibri" w:hAnsi="Calibri"/>
                <w:b/>
                <w:color w:val="000000"/>
                <w:sz w:val="22"/>
                <w:szCs w:val="22"/>
              </w:rPr>
              <w:t>Total</w:t>
            </w:r>
          </w:p>
        </w:tc>
        <w:tc>
          <w:tcPr>
            <w:tcW w:w="1170" w:type="dxa"/>
            <w:tcBorders>
              <w:top w:val="nil"/>
              <w:left w:val="nil"/>
              <w:bottom w:val="single" w:sz="4" w:space="0" w:color="auto"/>
              <w:right w:val="single" w:sz="4" w:space="0" w:color="auto"/>
            </w:tcBorders>
            <w:shd w:val="clear" w:color="auto" w:fill="auto"/>
            <w:noWrap/>
            <w:vAlign w:val="bottom"/>
            <w:hideMark/>
          </w:tcPr>
          <w:p w:rsidR="00411CBB" w:rsidRPr="00586B1F" w:rsidRDefault="00411CBB" w:rsidP="001E0315">
            <w:pPr>
              <w:keepNext/>
              <w:keepLines/>
              <w:jc w:val="right"/>
              <w:rPr>
                <w:rFonts w:ascii="Calibri" w:hAnsi="Calibri"/>
                <w:b/>
                <w:color w:val="000000"/>
                <w:sz w:val="22"/>
                <w:szCs w:val="22"/>
              </w:rPr>
            </w:pPr>
            <w:r w:rsidRPr="00586B1F">
              <w:rPr>
                <w:rFonts w:ascii="Calibri" w:hAnsi="Calibri"/>
                <w:b/>
                <w:color w:val="000000"/>
                <w:sz w:val="22"/>
                <w:szCs w:val="22"/>
              </w:rPr>
              <w:t>1298791</w:t>
            </w:r>
          </w:p>
        </w:tc>
        <w:tc>
          <w:tcPr>
            <w:tcW w:w="1170" w:type="dxa"/>
            <w:tcBorders>
              <w:top w:val="nil"/>
              <w:left w:val="nil"/>
              <w:bottom w:val="single" w:sz="4" w:space="0" w:color="auto"/>
              <w:right w:val="single" w:sz="4" w:space="0" w:color="auto"/>
            </w:tcBorders>
            <w:shd w:val="clear" w:color="auto" w:fill="auto"/>
            <w:noWrap/>
            <w:vAlign w:val="bottom"/>
            <w:hideMark/>
          </w:tcPr>
          <w:p w:rsidR="00411CBB" w:rsidRPr="00586B1F" w:rsidRDefault="00411CBB" w:rsidP="001E0315">
            <w:pPr>
              <w:keepNext/>
              <w:keepLines/>
              <w:jc w:val="right"/>
              <w:rPr>
                <w:rFonts w:ascii="Calibri" w:hAnsi="Calibri"/>
                <w:b/>
                <w:color w:val="000000"/>
                <w:sz w:val="22"/>
                <w:szCs w:val="22"/>
              </w:rPr>
            </w:pPr>
            <w:r w:rsidRPr="00586B1F">
              <w:rPr>
                <w:rFonts w:ascii="Calibri" w:hAnsi="Calibri"/>
                <w:b/>
                <w:color w:val="000000"/>
                <w:sz w:val="22"/>
                <w:szCs w:val="22"/>
              </w:rPr>
              <w:t>1372967</w:t>
            </w:r>
          </w:p>
        </w:tc>
        <w:tc>
          <w:tcPr>
            <w:tcW w:w="1170" w:type="dxa"/>
            <w:tcBorders>
              <w:top w:val="nil"/>
              <w:left w:val="nil"/>
              <w:bottom w:val="single" w:sz="4" w:space="0" w:color="auto"/>
              <w:right w:val="single" w:sz="4" w:space="0" w:color="auto"/>
            </w:tcBorders>
            <w:shd w:val="clear" w:color="auto" w:fill="auto"/>
            <w:vAlign w:val="bottom"/>
            <w:hideMark/>
          </w:tcPr>
          <w:p w:rsidR="00411CBB" w:rsidRPr="00586B1F" w:rsidRDefault="00411CBB" w:rsidP="001E0315">
            <w:pPr>
              <w:keepNext/>
              <w:keepLines/>
              <w:jc w:val="right"/>
              <w:rPr>
                <w:rFonts w:ascii="Calibri" w:hAnsi="Calibri"/>
                <w:b/>
                <w:color w:val="000000"/>
                <w:sz w:val="22"/>
                <w:szCs w:val="22"/>
              </w:rPr>
            </w:pPr>
            <w:r w:rsidRPr="00586B1F">
              <w:rPr>
                <w:rFonts w:ascii="Calibri" w:hAnsi="Calibri"/>
                <w:b/>
                <w:color w:val="000000"/>
                <w:sz w:val="22"/>
                <w:szCs w:val="22"/>
              </w:rPr>
              <w:t>-5%</w:t>
            </w:r>
          </w:p>
        </w:tc>
        <w:tc>
          <w:tcPr>
            <w:tcW w:w="1350" w:type="dxa"/>
            <w:tcBorders>
              <w:top w:val="nil"/>
              <w:left w:val="nil"/>
              <w:bottom w:val="single" w:sz="4" w:space="0" w:color="auto"/>
              <w:right w:val="single" w:sz="4" w:space="0" w:color="auto"/>
            </w:tcBorders>
            <w:shd w:val="clear" w:color="auto" w:fill="auto"/>
            <w:vAlign w:val="bottom"/>
            <w:hideMark/>
          </w:tcPr>
          <w:p w:rsidR="00411CBB" w:rsidRPr="00586B1F" w:rsidRDefault="00411CBB" w:rsidP="001E0315">
            <w:pPr>
              <w:keepNext/>
              <w:keepLines/>
              <w:jc w:val="right"/>
              <w:rPr>
                <w:rFonts w:ascii="Calibri" w:hAnsi="Calibri"/>
                <w:b/>
                <w:color w:val="000000"/>
                <w:sz w:val="22"/>
                <w:szCs w:val="22"/>
              </w:rPr>
            </w:pPr>
            <w:r w:rsidRPr="00586B1F">
              <w:rPr>
                <w:rFonts w:ascii="Calibri" w:hAnsi="Calibri"/>
                <w:b/>
                <w:color w:val="000000"/>
                <w:sz w:val="22"/>
                <w:szCs w:val="22"/>
              </w:rPr>
              <w:t>100%</w:t>
            </w:r>
          </w:p>
        </w:tc>
      </w:tr>
    </w:tbl>
    <w:p w:rsidR="00AE7D50" w:rsidRPr="00AD151D" w:rsidRDefault="00AE7D50" w:rsidP="001E0315">
      <w:pPr>
        <w:keepNext/>
        <w:keepLines/>
        <w:rPr>
          <w:sz w:val="20"/>
          <w:szCs w:val="20"/>
        </w:rPr>
      </w:pPr>
      <w:r w:rsidRPr="00AD151D">
        <w:rPr>
          <w:sz w:val="20"/>
          <w:szCs w:val="20"/>
        </w:rPr>
        <w:t xml:space="preserve">Source: Monthly CAISO </w:t>
      </w:r>
      <w:r w:rsidR="00DF536B">
        <w:rPr>
          <w:sz w:val="20"/>
          <w:szCs w:val="20"/>
        </w:rPr>
        <w:t>ExD</w:t>
      </w:r>
      <w:r w:rsidRPr="00AD151D">
        <w:rPr>
          <w:sz w:val="20"/>
          <w:szCs w:val="20"/>
        </w:rPr>
        <w:t xml:space="preserve"> Reports (</w:t>
      </w:r>
      <w:hyperlink r:id="rId11" w:history="1">
        <w:r w:rsidRPr="00AD151D">
          <w:rPr>
            <w:rStyle w:val="Hyperlink"/>
            <w:sz w:val="20"/>
            <w:szCs w:val="20"/>
          </w:rPr>
          <w:t>http://www.caiso.com/241d/241dca223c760.html</w:t>
        </w:r>
      </w:hyperlink>
      <w:r w:rsidRPr="00AD151D">
        <w:rPr>
          <w:sz w:val="20"/>
          <w:szCs w:val="20"/>
        </w:rPr>
        <w:t xml:space="preserve">) </w:t>
      </w:r>
    </w:p>
    <w:p w:rsidR="00AE7D50" w:rsidRPr="00AD151D" w:rsidRDefault="00411CBB">
      <w:pPr>
        <w:pStyle w:val="Heading3"/>
        <w:numPr>
          <w:ilvl w:val="2"/>
          <w:numId w:val="18"/>
        </w:numPr>
      </w:pPr>
      <w:bookmarkStart w:id="108" w:name="_Toc347827058"/>
      <w:r w:rsidRPr="00AD151D">
        <w:t>Trends</w:t>
      </w:r>
      <w:r w:rsidR="00AE7D50" w:rsidRPr="00AD151D">
        <w:t xml:space="preserve"> in ExD by Reason </w:t>
      </w:r>
      <w:r w:rsidRPr="00AD151D">
        <w:t>Category</w:t>
      </w:r>
      <w:bookmarkEnd w:id="108"/>
    </w:p>
    <w:p w:rsidR="00F771A4" w:rsidRPr="00AD151D" w:rsidRDefault="00AE7D50" w:rsidP="00411CBB">
      <w:pPr>
        <w:spacing w:before="120"/>
        <w:ind w:firstLine="720"/>
      </w:pPr>
      <w:r w:rsidRPr="00AD151D">
        <w:t xml:space="preserve">ExD </w:t>
      </w:r>
      <w:r w:rsidR="00C17159">
        <w:t xml:space="preserve">MWh volume changes </w:t>
      </w:r>
      <w:r w:rsidRPr="00AD151D">
        <w:t xml:space="preserve">between </w:t>
      </w:r>
      <w:r w:rsidR="00AD0D06" w:rsidRPr="00AD151D">
        <w:t xml:space="preserve">2010 </w:t>
      </w:r>
      <w:r w:rsidRPr="00AD151D">
        <w:t>and 201</w:t>
      </w:r>
      <w:r w:rsidR="00AD0D06" w:rsidRPr="00AD151D">
        <w:t xml:space="preserve">1 </w:t>
      </w:r>
      <w:r w:rsidR="00C17159">
        <w:t>include</w:t>
      </w:r>
      <w:r w:rsidR="00F771A4" w:rsidRPr="00AD151D">
        <w:t xml:space="preserve"> a 23% drop in ExD related to System Reliability</w:t>
      </w:r>
      <w:r w:rsidR="00C17159">
        <w:t>,</w:t>
      </w:r>
      <w:r w:rsidR="00F771A4" w:rsidRPr="00AD151D">
        <w:t xml:space="preserve"> a 48% drop in ExD related to transmission procedures</w:t>
      </w:r>
      <w:r w:rsidR="00C17159">
        <w:t>,</w:t>
      </w:r>
      <w:r w:rsidR="00F771A4" w:rsidRPr="00AD151D">
        <w:t xml:space="preserve"> </w:t>
      </w:r>
      <w:r w:rsidR="00C17159">
        <w:t>offset</w:t>
      </w:r>
      <w:r w:rsidR="00C17159" w:rsidRPr="00AD151D">
        <w:t xml:space="preserve"> </w:t>
      </w:r>
      <w:r w:rsidR="00C17159">
        <w:t xml:space="preserve">by </w:t>
      </w:r>
      <w:r w:rsidR="00F771A4" w:rsidRPr="00AD151D">
        <w:t>a 58% growth in ExD related to dispatchability</w:t>
      </w:r>
      <w:r w:rsidR="00C17159">
        <w:t>,</w:t>
      </w:r>
      <w:r w:rsidR="00F771A4" w:rsidRPr="00AD151D">
        <w:t xml:space="preserve"> and </w:t>
      </w:r>
      <w:r w:rsidR="00C17159">
        <w:t xml:space="preserve">a </w:t>
      </w:r>
      <w:r w:rsidR="00F771A4" w:rsidRPr="00AD151D">
        <w:t>14% growth</w:t>
      </w:r>
      <w:r w:rsidR="00C17159">
        <w:t xml:space="preserve"> due </w:t>
      </w:r>
      <w:r w:rsidR="00F771A4" w:rsidRPr="00AD151D">
        <w:t xml:space="preserve">to software limitations.  </w:t>
      </w:r>
      <w:r w:rsidR="00411CBB" w:rsidRPr="00AD151D">
        <w:fldChar w:fldCharType="begin"/>
      </w:r>
      <w:r w:rsidR="00411CBB" w:rsidRPr="00AD151D">
        <w:instrText xml:space="preserve"> REF _Ref347315854 \h </w:instrText>
      </w:r>
      <w:r w:rsidR="00691252" w:rsidRPr="00AD151D">
        <w:instrText xml:space="preserve"> \* MERGEFORMAT </w:instrText>
      </w:r>
      <w:r w:rsidR="00411CBB" w:rsidRPr="00AD151D">
        <w:fldChar w:fldCharType="separate"/>
      </w:r>
      <w:r w:rsidR="00B3535E" w:rsidRPr="00AD151D">
        <w:t xml:space="preserve">Table </w:t>
      </w:r>
      <w:r w:rsidR="00B3535E">
        <w:rPr>
          <w:noProof/>
        </w:rPr>
        <w:t>13</w:t>
      </w:r>
      <w:r w:rsidR="00411CBB" w:rsidRPr="00AD151D">
        <w:fldChar w:fldCharType="end"/>
      </w:r>
      <w:r w:rsidR="00411CBB" w:rsidRPr="00AD151D">
        <w:t xml:space="preserve"> il</w:t>
      </w:r>
      <w:r w:rsidRPr="00AD151D">
        <w:t>lustrates th</w:t>
      </w:r>
      <w:r w:rsidR="00F771A4" w:rsidRPr="00AD151D">
        <w:t xml:space="preserve">e breakdown of ExD MWh volumes </w:t>
      </w:r>
      <w:r w:rsidR="00C17159">
        <w:t>by</w:t>
      </w:r>
      <w:r w:rsidR="00F771A4" w:rsidRPr="00AD151D">
        <w:t xml:space="preserve"> </w:t>
      </w:r>
      <w:r w:rsidR="00411CBB" w:rsidRPr="00AD151D">
        <w:t xml:space="preserve">Energy </w:t>
      </w:r>
      <w:r w:rsidR="00B414BC" w:rsidRPr="00AD151D">
        <w:t>Division’s categories</w:t>
      </w:r>
      <w:r w:rsidR="00F771A4" w:rsidRPr="00AD151D">
        <w:t>.</w:t>
      </w:r>
      <w:r w:rsidR="004A2ECB">
        <w:t xml:space="preserve">  A monthly breakdown of ExD volumes by category is included as Appendix 2</w:t>
      </w:r>
    </w:p>
    <w:p w:rsidR="00F771A4" w:rsidRPr="00AD151D" w:rsidRDefault="00F771A4" w:rsidP="003A0DD6">
      <w:pPr>
        <w:pStyle w:val="Caption"/>
      </w:pPr>
    </w:p>
    <w:p w:rsidR="00F771A4" w:rsidRPr="00AD151D" w:rsidRDefault="00F771A4" w:rsidP="006645E2">
      <w:pPr>
        <w:pStyle w:val="Caption"/>
        <w:widowControl w:val="0"/>
      </w:pPr>
      <w:bookmarkStart w:id="109" w:name="_Ref347315854"/>
      <w:bookmarkStart w:id="110" w:name="_Toc347827083"/>
      <w:r w:rsidRPr="00AD151D">
        <w:t xml:space="preserve">Table </w:t>
      </w:r>
      <w:r w:rsidR="00B3535E">
        <w:fldChar w:fldCharType="begin"/>
      </w:r>
      <w:r w:rsidR="00B3535E">
        <w:instrText xml:space="preserve"> SEQ Table \* ARABIC </w:instrText>
      </w:r>
      <w:r w:rsidR="00B3535E">
        <w:fldChar w:fldCharType="separate"/>
      </w:r>
      <w:r w:rsidR="00B3535E">
        <w:rPr>
          <w:noProof/>
        </w:rPr>
        <w:t>13</w:t>
      </w:r>
      <w:r w:rsidR="00B3535E">
        <w:rPr>
          <w:noProof/>
        </w:rPr>
        <w:fldChar w:fldCharType="end"/>
      </w:r>
      <w:bookmarkEnd w:id="109"/>
      <w:r w:rsidRPr="00AD151D">
        <w:t xml:space="preserve"> Breakdown of ExD MWh volumes by reason categories</w:t>
      </w:r>
      <w:bookmarkEnd w:id="110"/>
    </w:p>
    <w:tbl>
      <w:tblPr>
        <w:tblW w:w="7665" w:type="dxa"/>
        <w:tblInd w:w="93" w:type="dxa"/>
        <w:tblLook w:val="04A0" w:firstRow="1" w:lastRow="0" w:firstColumn="1" w:lastColumn="0" w:noHBand="0" w:noVBand="1"/>
      </w:tblPr>
      <w:tblGrid>
        <w:gridCol w:w="3165"/>
        <w:gridCol w:w="1170"/>
        <w:gridCol w:w="1260"/>
        <w:gridCol w:w="990"/>
        <w:gridCol w:w="1080"/>
      </w:tblGrid>
      <w:tr w:rsidR="00F771A4" w:rsidRPr="00586B1F" w:rsidTr="0094467F">
        <w:trPr>
          <w:trHeight w:val="737"/>
        </w:trPr>
        <w:tc>
          <w:tcPr>
            <w:tcW w:w="3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1A4" w:rsidRPr="0094467F" w:rsidRDefault="00F771A4" w:rsidP="006645E2">
            <w:pPr>
              <w:widowControl w:val="0"/>
              <w:rPr>
                <w:color w:val="000000"/>
                <w:sz w:val="22"/>
                <w:szCs w:val="22"/>
              </w:rPr>
            </w:pPr>
            <w:r w:rsidRPr="0094467F">
              <w:rPr>
                <w:color w:val="000000"/>
                <w:sz w:val="22"/>
                <w:szCs w:val="22"/>
              </w:rPr>
              <w:t> </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F771A4" w:rsidRPr="00586B1F" w:rsidRDefault="00F771A4" w:rsidP="006645E2">
            <w:pPr>
              <w:widowControl w:val="0"/>
              <w:jc w:val="center"/>
              <w:rPr>
                <w:b/>
                <w:color w:val="000000"/>
                <w:sz w:val="22"/>
                <w:szCs w:val="22"/>
              </w:rPr>
            </w:pPr>
            <w:r w:rsidRPr="00586B1F">
              <w:rPr>
                <w:b/>
                <w:color w:val="000000"/>
                <w:sz w:val="22"/>
                <w:szCs w:val="22"/>
              </w:rPr>
              <w:t>2011 Total MWh</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F771A4" w:rsidRPr="00586B1F" w:rsidRDefault="00F771A4" w:rsidP="006645E2">
            <w:pPr>
              <w:widowControl w:val="0"/>
              <w:jc w:val="center"/>
              <w:rPr>
                <w:b/>
                <w:color w:val="000000"/>
                <w:sz w:val="22"/>
                <w:szCs w:val="22"/>
              </w:rPr>
            </w:pPr>
            <w:r w:rsidRPr="00586B1F">
              <w:rPr>
                <w:b/>
                <w:color w:val="000000"/>
                <w:sz w:val="22"/>
                <w:szCs w:val="22"/>
              </w:rPr>
              <w:t>2010 Total MWh</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F771A4" w:rsidRPr="00586B1F" w:rsidRDefault="00095495" w:rsidP="006645E2">
            <w:pPr>
              <w:widowControl w:val="0"/>
              <w:jc w:val="center"/>
              <w:rPr>
                <w:b/>
                <w:color w:val="000000"/>
                <w:sz w:val="22"/>
                <w:szCs w:val="22"/>
              </w:rPr>
            </w:pPr>
            <w:r w:rsidRPr="00586B1F">
              <w:rPr>
                <w:b/>
                <w:color w:val="000000"/>
                <w:sz w:val="22"/>
                <w:szCs w:val="22"/>
              </w:rPr>
              <w:t xml:space="preserve">Y-O-Y </w:t>
            </w:r>
            <w:r w:rsidR="00F771A4" w:rsidRPr="00586B1F">
              <w:rPr>
                <w:b/>
                <w:color w:val="000000"/>
                <w:sz w:val="22"/>
                <w:szCs w:val="22"/>
              </w:rPr>
              <w:t>Change</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F771A4" w:rsidRPr="00586B1F" w:rsidRDefault="0094467F" w:rsidP="006645E2">
            <w:pPr>
              <w:widowControl w:val="0"/>
              <w:jc w:val="center"/>
              <w:rPr>
                <w:b/>
                <w:color w:val="000000"/>
                <w:sz w:val="22"/>
                <w:szCs w:val="22"/>
              </w:rPr>
            </w:pPr>
            <w:r w:rsidRPr="00586B1F">
              <w:rPr>
                <w:b/>
                <w:color w:val="000000"/>
                <w:sz w:val="22"/>
                <w:szCs w:val="22"/>
              </w:rPr>
              <w:t xml:space="preserve">2011 </w:t>
            </w:r>
            <w:r w:rsidR="00095495" w:rsidRPr="00586B1F">
              <w:rPr>
                <w:b/>
                <w:color w:val="000000"/>
                <w:sz w:val="22"/>
                <w:szCs w:val="22"/>
              </w:rPr>
              <w:t xml:space="preserve">% </w:t>
            </w:r>
            <w:r w:rsidR="00F771A4" w:rsidRPr="00586B1F">
              <w:rPr>
                <w:b/>
                <w:color w:val="000000"/>
                <w:sz w:val="22"/>
                <w:szCs w:val="22"/>
              </w:rPr>
              <w:t xml:space="preserve">of </w:t>
            </w:r>
            <w:r w:rsidR="00095495" w:rsidRPr="00586B1F">
              <w:rPr>
                <w:b/>
                <w:color w:val="000000"/>
                <w:sz w:val="22"/>
                <w:szCs w:val="22"/>
              </w:rPr>
              <w:t>T</w:t>
            </w:r>
            <w:r w:rsidR="00F771A4" w:rsidRPr="00586B1F">
              <w:rPr>
                <w:b/>
                <w:color w:val="000000"/>
                <w:sz w:val="22"/>
                <w:szCs w:val="22"/>
              </w:rPr>
              <w:t>otal</w:t>
            </w:r>
          </w:p>
        </w:tc>
      </w:tr>
      <w:tr w:rsidR="00F771A4" w:rsidRPr="00AD151D" w:rsidTr="0094467F">
        <w:trPr>
          <w:trHeight w:val="300"/>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F771A4" w:rsidRPr="0094467F" w:rsidRDefault="00F771A4" w:rsidP="006645E2">
            <w:pPr>
              <w:widowControl w:val="0"/>
              <w:rPr>
                <w:color w:val="000000"/>
                <w:sz w:val="20"/>
                <w:szCs w:val="20"/>
              </w:rPr>
            </w:pPr>
            <w:r w:rsidRPr="0094467F">
              <w:rPr>
                <w:color w:val="000000"/>
                <w:sz w:val="20"/>
                <w:szCs w:val="20"/>
              </w:rPr>
              <w:t>Dispatchability</w:t>
            </w:r>
          </w:p>
        </w:tc>
        <w:tc>
          <w:tcPr>
            <w:tcW w:w="1170" w:type="dxa"/>
            <w:tcBorders>
              <w:top w:val="nil"/>
              <w:left w:val="nil"/>
              <w:bottom w:val="single" w:sz="4" w:space="0" w:color="auto"/>
              <w:right w:val="single" w:sz="4" w:space="0" w:color="auto"/>
            </w:tcBorders>
            <w:shd w:val="clear" w:color="auto" w:fill="auto"/>
            <w:noWrap/>
            <w:vAlign w:val="bottom"/>
            <w:hideMark/>
          </w:tcPr>
          <w:p w:rsidR="00F771A4" w:rsidRPr="0094467F" w:rsidRDefault="00F771A4" w:rsidP="006645E2">
            <w:pPr>
              <w:widowControl w:val="0"/>
              <w:jc w:val="right"/>
              <w:rPr>
                <w:color w:val="000000"/>
                <w:sz w:val="22"/>
                <w:szCs w:val="22"/>
              </w:rPr>
            </w:pPr>
            <w:r w:rsidRPr="0094467F">
              <w:rPr>
                <w:color w:val="000000"/>
                <w:sz w:val="22"/>
                <w:szCs w:val="22"/>
              </w:rPr>
              <w:t>215973</w:t>
            </w:r>
          </w:p>
        </w:tc>
        <w:tc>
          <w:tcPr>
            <w:tcW w:w="1260" w:type="dxa"/>
            <w:tcBorders>
              <w:top w:val="nil"/>
              <w:left w:val="nil"/>
              <w:bottom w:val="single" w:sz="4" w:space="0" w:color="auto"/>
              <w:right w:val="single" w:sz="4" w:space="0" w:color="auto"/>
            </w:tcBorders>
            <w:shd w:val="clear" w:color="auto" w:fill="auto"/>
            <w:noWrap/>
            <w:vAlign w:val="bottom"/>
            <w:hideMark/>
          </w:tcPr>
          <w:p w:rsidR="00F771A4" w:rsidRPr="0094467F" w:rsidRDefault="00F771A4" w:rsidP="006645E2">
            <w:pPr>
              <w:widowControl w:val="0"/>
              <w:jc w:val="right"/>
              <w:rPr>
                <w:color w:val="000000"/>
                <w:sz w:val="22"/>
                <w:szCs w:val="22"/>
              </w:rPr>
            </w:pPr>
            <w:r w:rsidRPr="0094467F">
              <w:rPr>
                <w:color w:val="000000"/>
                <w:sz w:val="22"/>
                <w:szCs w:val="22"/>
              </w:rPr>
              <w:t>137094</w:t>
            </w:r>
          </w:p>
        </w:tc>
        <w:tc>
          <w:tcPr>
            <w:tcW w:w="990" w:type="dxa"/>
            <w:tcBorders>
              <w:top w:val="nil"/>
              <w:left w:val="nil"/>
              <w:bottom w:val="single" w:sz="4" w:space="0" w:color="auto"/>
              <w:right w:val="single" w:sz="4" w:space="0" w:color="auto"/>
            </w:tcBorders>
            <w:shd w:val="clear" w:color="auto" w:fill="auto"/>
            <w:vAlign w:val="bottom"/>
            <w:hideMark/>
          </w:tcPr>
          <w:p w:rsidR="00F771A4" w:rsidRPr="0094467F" w:rsidRDefault="00F771A4" w:rsidP="006645E2">
            <w:pPr>
              <w:widowControl w:val="0"/>
              <w:jc w:val="right"/>
              <w:rPr>
                <w:color w:val="000000"/>
                <w:sz w:val="22"/>
                <w:szCs w:val="22"/>
              </w:rPr>
            </w:pPr>
            <w:r w:rsidRPr="0094467F">
              <w:rPr>
                <w:color w:val="000000"/>
                <w:sz w:val="22"/>
                <w:szCs w:val="22"/>
              </w:rPr>
              <w:t>58%</w:t>
            </w:r>
          </w:p>
        </w:tc>
        <w:tc>
          <w:tcPr>
            <w:tcW w:w="1080" w:type="dxa"/>
            <w:tcBorders>
              <w:top w:val="nil"/>
              <w:left w:val="nil"/>
              <w:bottom w:val="single" w:sz="4" w:space="0" w:color="auto"/>
              <w:right w:val="single" w:sz="4" w:space="0" w:color="auto"/>
            </w:tcBorders>
            <w:shd w:val="clear" w:color="auto" w:fill="auto"/>
            <w:vAlign w:val="bottom"/>
            <w:hideMark/>
          </w:tcPr>
          <w:p w:rsidR="00F771A4" w:rsidRPr="0094467F" w:rsidRDefault="00F771A4" w:rsidP="006645E2">
            <w:pPr>
              <w:widowControl w:val="0"/>
              <w:jc w:val="right"/>
              <w:rPr>
                <w:color w:val="000000"/>
                <w:sz w:val="22"/>
                <w:szCs w:val="22"/>
              </w:rPr>
            </w:pPr>
            <w:r w:rsidRPr="0094467F">
              <w:rPr>
                <w:color w:val="000000"/>
                <w:sz w:val="22"/>
                <w:szCs w:val="22"/>
              </w:rPr>
              <w:t>17%</w:t>
            </w:r>
          </w:p>
        </w:tc>
      </w:tr>
      <w:tr w:rsidR="00F771A4" w:rsidRPr="00AD151D" w:rsidTr="0094467F">
        <w:trPr>
          <w:trHeight w:val="300"/>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F771A4" w:rsidRPr="0094467F" w:rsidRDefault="00F771A4" w:rsidP="006645E2">
            <w:pPr>
              <w:widowControl w:val="0"/>
              <w:rPr>
                <w:color w:val="000000"/>
                <w:sz w:val="20"/>
                <w:szCs w:val="20"/>
              </w:rPr>
            </w:pPr>
            <w:r w:rsidRPr="0094467F">
              <w:rPr>
                <w:color w:val="000000"/>
                <w:sz w:val="20"/>
                <w:szCs w:val="20"/>
              </w:rPr>
              <w:t>Forecast Uncertainty</w:t>
            </w:r>
          </w:p>
        </w:tc>
        <w:tc>
          <w:tcPr>
            <w:tcW w:w="1170" w:type="dxa"/>
            <w:tcBorders>
              <w:top w:val="nil"/>
              <w:left w:val="nil"/>
              <w:bottom w:val="single" w:sz="4" w:space="0" w:color="auto"/>
              <w:right w:val="single" w:sz="4" w:space="0" w:color="auto"/>
            </w:tcBorders>
            <w:shd w:val="clear" w:color="auto" w:fill="auto"/>
            <w:noWrap/>
            <w:vAlign w:val="bottom"/>
            <w:hideMark/>
          </w:tcPr>
          <w:p w:rsidR="00F771A4" w:rsidRPr="0094467F" w:rsidRDefault="00F771A4" w:rsidP="006645E2">
            <w:pPr>
              <w:widowControl w:val="0"/>
              <w:jc w:val="right"/>
              <w:rPr>
                <w:color w:val="000000"/>
                <w:sz w:val="22"/>
                <w:szCs w:val="22"/>
              </w:rPr>
            </w:pPr>
            <w:r w:rsidRPr="0094467F">
              <w:rPr>
                <w:color w:val="000000"/>
                <w:sz w:val="22"/>
                <w:szCs w:val="22"/>
              </w:rPr>
              <w:t>10360</w:t>
            </w:r>
          </w:p>
        </w:tc>
        <w:tc>
          <w:tcPr>
            <w:tcW w:w="1260" w:type="dxa"/>
            <w:tcBorders>
              <w:top w:val="nil"/>
              <w:left w:val="nil"/>
              <w:bottom w:val="single" w:sz="4" w:space="0" w:color="auto"/>
              <w:right w:val="single" w:sz="4" w:space="0" w:color="auto"/>
            </w:tcBorders>
            <w:shd w:val="clear" w:color="auto" w:fill="auto"/>
            <w:noWrap/>
            <w:vAlign w:val="bottom"/>
            <w:hideMark/>
          </w:tcPr>
          <w:p w:rsidR="00F771A4" w:rsidRPr="0094467F" w:rsidRDefault="00F771A4" w:rsidP="006645E2">
            <w:pPr>
              <w:widowControl w:val="0"/>
              <w:jc w:val="right"/>
              <w:rPr>
                <w:color w:val="000000"/>
                <w:sz w:val="22"/>
                <w:szCs w:val="22"/>
              </w:rPr>
            </w:pPr>
            <w:r w:rsidRPr="0094467F">
              <w:rPr>
                <w:color w:val="000000"/>
                <w:sz w:val="22"/>
                <w:szCs w:val="22"/>
              </w:rPr>
              <w:t>13108</w:t>
            </w:r>
          </w:p>
        </w:tc>
        <w:tc>
          <w:tcPr>
            <w:tcW w:w="990" w:type="dxa"/>
            <w:tcBorders>
              <w:top w:val="nil"/>
              <w:left w:val="nil"/>
              <w:bottom w:val="single" w:sz="4" w:space="0" w:color="auto"/>
              <w:right w:val="single" w:sz="4" w:space="0" w:color="auto"/>
            </w:tcBorders>
            <w:shd w:val="clear" w:color="auto" w:fill="auto"/>
            <w:vAlign w:val="bottom"/>
            <w:hideMark/>
          </w:tcPr>
          <w:p w:rsidR="00F771A4" w:rsidRPr="0094467F" w:rsidRDefault="00F771A4" w:rsidP="006645E2">
            <w:pPr>
              <w:widowControl w:val="0"/>
              <w:jc w:val="right"/>
              <w:rPr>
                <w:color w:val="000000"/>
                <w:sz w:val="22"/>
                <w:szCs w:val="22"/>
              </w:rPr>
            </w:pPr>
            <w:r w:rsidRPr="0094467F">
              <w:rPr>
                <w:color w:val="000000"/>
                <w:sz w:val="22"/>
                <w:szCs w:val="22"/>
              </w:rPr>
              <w:t>-21%</w:t>
            </w:r>
          </w:p>
        </w:tc>
        <w:tc>
          <w:tcPr>
            <w:tcW w:w="1080" w:type="dxa"/>
            <w:tcBorders>
              <w:top w:val="nil"/>
              <w:left w:val="nil"/>
              <w:bottom w:val="single" w:sz="4" w:space="0" w:color="auto"/>
              <w:right w:val="single" w:sz="4" w:space="0" w:color="auto"/>
            </w:tcBorders>
            <w:shd w:val="clear" w:color="auto" w:fill="auto"/>
            <w:vAlign w:val="bottom"/>
            <w:hideMark/>
          </w:tcPr>
          <w:p w:rsidR="00F771A4" w:rsidRPr="0094467F" w:rsidRDefault="00F771A4" w:rsidP="006645E2">
            <w:pPr>
              <w:widowControl w:val="0"/>
              <w:jc w:val="right"/>
              <w:rPr>
                <w:color w:val="000000"/>
                <w:sz w:val="22"/>
                <w:szCs w:val="22"/>
              </w:rPr>
            </w:pPr>
            <w:r w:rsidRPr="0094467F">
              <w:rPr>
                <w:color w:val="000000"/>
                <w:sz w:val="22"/>
                <w:szCs w:val="22"/>
              </w:rPr>
              <w:t>1%</w:t>
            </w:r>
          </w:p>
        </w:tc>
      </w:tr>
      <w:tr w:rsidR="00F771A4" w:rsidRPr="00AD151D" w:rsidTr="0094467F">
        <w:trPr>
          <w:trHeight w:val="300"/>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F771A4" w:rsidRPr="0094467F" w:rsidRDefault="00F771A4" w:rsidP="006645E2">
            <w:pPr>
              <w:widowControl w:val="0"/>
              <w:rPr>
                <w:color w:val="000000"/>
                <w:sz w:val="20"/>
                <w:szCs w:val="20"/>
              </w:rPr>
            </w:pPr>
            <w:r w:rsidRPr="0094467F">
              <w:rPr>
                <w:color w:val="000000"/>
                <w:sz w:val="20"/>
                <w:szCs w:val="20"/>
              </w:rPr>
              <w:t>Generation procedure</w:t>
            </w:r>
          </w:p>
        </w:tc>
        <w:tc>
          <w:tcPr>
            <w:tcW w:w="1170" w:type="dxa"/>
            <w:tcBorders>
              <w:top w:val="nil"/>
              <w:left w:val="nil"/>
              <w:bottom w:val="single" w:sz="4" w:space="0" w:color="auto"/>
              <w:right w:val="single" w:sz="4" w:space="0" w:color="auto"/>
            </w:tcBorders>
            <w:shd w:val="clear" w:color="auto" w:fill="auto"/>
            <w:noWrap/>
            <w:vAlign w:val="bottom"/>
            <w:hideMark/>
          </w:tcPr>
          <w:p w:rsidR="00F771A4" w:rsidRPr="0094467F" w:rsidRDefault="00F771A4" w:rsidP="006645E2">
            <w:pPr>
              <w:widowControl w:val="0"/>
              <w:jc w:val="right"/>
              <w:rPr>
                <w:color w:val="000000"/>
                <w:sz w:val="22"/>
                <w:szCs w:val="22"/>
              </w:rPr>
            </w:pPr>
            <w:r w:rsidRPr="0094467F">
              <w:rPr>
                <w:color w:val="000000"/>
                <w:sz w:val="22"/>
                <w:szCs w:val="22"/>
              </w:rPr>
              <w:t>59275</w:t>
            </w:r>
          </w:p>
        </w:tc>
        <w:tc>
          <w:tcPr>
            <w:tcW w:w="1260" w:type="dxa"/>
            <w:tcBorders>
              <w:top w:val="nil"/>
              <w:left w:val="nil"/>
              <w:bottom w:val="single" w:sz="4" w:space="0" w:color="auto"/>
              <w:right w:val="single" w:sz="4" w:space="0" w:color="auto"/>
            </w:tcBorders>
            <w:shd w:val="clear" w:color="auto" w:fill="auto"/>
            <w:noWrap/>
            <w:vAlign w:val="bottom"/>
            <w:hideMark/>
          </w:tcPr>
          <w:p w:rsidR="00F771A4" w:rsidRPr="0094467F" w:rsidRDefault="00F771A4" w:rsidP="006645E2">
            <w:pPr>
              <w:widowControl w:val="0"/>
              <w:jc w:val="right"/>
              <w:rPr>
                <w:color w:val="000000"/>
                <w:sz w:val="22"/>
                <w:szCs w:val="22"/>
              </w:rPr>
            </w:pPr>
            <w:r w:rsidRPr="0094467F">
              <w:rPr>
                <w:color w:val="000000"/>
                <w:sz w:val="22"/>
                <w:szCs w:val="22"/>
              </w:rPr>
              <w:t>51339</w:t>
            </w:r>
          </w:p>
        </w:tc>
        <w:tc>
          <w:tcPr>
            <w:tcW w:w="990" w:type="dxa"/>
            <w:tcBorders>
              <w:top w:val="nil"/>
              <w:left w:val="nil"/>
              <w:bottom w:val="single" w:sz="4" w:space="0" w:color="auto"/>
              <w:right w:val="single" w:sz="4" w:space="0" w:color="auto"/>
            </w:tcBorders>
            <w:shd w:val="clear" w:color="auto" w:fill="auto"/>
            <w:vAlign w:val="bottom"/>
            <w:hideMark/>
          </w:tcPr>
          <w:p w:rsidR="00F771A4" w:rsidRPr="0094467F" w:rsidRDefault="00F771A4" w:rsidP="006645E2">
            <w:pPr>
              <w:widowControl w:val="0"/>
              <w:jc w:val="right"/>
              <w:rPr>
                <w:color w:val="000000"/>
                <w:sz w:val="22"/>
                <w:szCs w:val="22"/>
              </w:rPr>
            </w:pPr>
            <w:r w:rsidRPr="0094467F">
              <w:rPr>
                <w:color w:val="000000"/>
                <w:sz w:val="22"/>
                <w:szCs w:val="22"/>
              </w:rPr>
              <w:t>15%</w:t>
            </w:r>
          </w:p>
        </w:tc>
        <w:tc>
          <w:tcPr>
            <w:tcW w:w="1080" w:type="dxa"/>
            <w:tcBorders>
              <w:top w:val="nil"/>
              <w:left w:val="nil"/>
              <w:bottom w:val="single" w:sz="4" w:space="0" w:color="auto"/>
              <w:right w:val="single" w:sz="4" w:space="0" w:color="auto"/>
            </w:tcBorders>
            <w:shd w:val="clear" w:color="auto" w:fill="auto"/>
            <w:vAlign w:val="bottom"/>
            <w:hideMark/>
          </w:tcPr>
          <w:p w:rsidR="00F771A4" w:rsidRPr="0094467F" w:rsidRDefault="00F771A4" w:rsidP="006645E2">
            <w:pPr>
              <w:widowControl w:val="0"/>
              <w:jc w:val="right"/>
              <w:rPr>
                <w:color w:val="000000"/>
                <w:sz w:val="22"/>
                <w:szCs w:val="22"/>
              </w:rPr>
            </w:pPr>
            <w:r w:rsidRPr="0094467F">
              <w:rPr>
                <w:color w:val="000000"/>
                <w:sz w:val="22"/>
                <w:szCs w:val="22"/>
              </w:rPr>
              <w:t>5%</w:t>
            </w:r>
          </w:p>
        </w:tc>
      </w:tr>
      <w:tr w:rsidR="00F771A4" w:rsidRPr="00AD151D" w:rsidTr="0094467F">
        <w:trPr>
          <w:trHeight w:val="300"/>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F771A4" w:rsidRPr="0094467F" w:rsidRDefault="00F771A4" w:rsidP="006645E2">
            <w:pPr>
              <w:widowControl w:val="0"/>
              <w:rPr>
                <w:color w:val="000000"/>
                <w:sz w:val="20"/>
                <w:szCs w:val="20"/>
              </w:rPr>
            </w:pPr>
            <w:r w:rsidRPr="0094467F">
              <w:rPr>
                <w:color w:val="000000"/>
                <w:sz w:val="20"/>
                <w:szCs w:val="20"/>
              </w:rPr>
              <w:t>Generation/Transmission Outage</w:t>
            </w:r>
          </w:p>
        </w:tc>
        <w:tc>
          <w:tcPr>
            <w:tcW w:w="1170" w:type="dxa"/>
            <w:tcBorders>
              <w:top w:val="nil"/>
              <w:left w:val="nil"/>
              <w:bottom w:val="single" w:sz="4" w:space="0" w:color="auto"/>
              <w:right w:val="single" w:sz="4" w:space="0" w:color="auto"/>
            </w:tcBorders>
            <w:shd w:val="clear" w:color="auto" w:fill="auto"/>
            <w:noWrap/>
            <w:vAlign w:val="bottom"/>
            <w:hideMark/>
          </w:tcPr>
          <w:p w:rsidR="00F771A4" w:rsidRPr="0094467F" w:rsidRDefault="00F771A4" w:rsidP="006645E2">
            <w:pPr>
              <w:widowControl w:val="0"/>
              <w:jc w:val="right"/>
              <w:rPr>
                <w:color w:val="000000"/>
                <w:sz w:val="22"/>
                <w:szCs w:val="22"/>
              </w:rPr>
            </w:pPr>
            <w:r w:rsidRPr="0094467F">
              <w:rPr>
                <w:color w:val="000000"/>
                <w:sz w:val="22"/>
                <w:szCs w:val="22"/>
              </w:rPr>
              <w:t>268603</w:t>
            </w:r>
          </w:p>
        </w:tc>
        <w:tc>
          <w:tcPr>
            <w:tcW w:w="1260" w:type="dxa"/>
            <w:tcBorders>
              <w:top w:val="nil"/>
              <w:left w:val="nil"/>
              <w:bottom w:val="single" w:sz="4" w:space="0" w:color="auto"/>
              <w:right w:val="single" w:sz="4" w:space="0" w:color="auto"/>
            </w:tcBorders>
            <w:shd w:val="clear" w:color="auto" w:fill="auto"/>
            <w:noWrap/>
            <w:vAlign w:val="bottom"/>
            <w:hideMark/>
          </w:tcPr>
          <w:p w:rsidR="00F771A4" w:rsidRPr="0094467F" w:rsidRDefault="00F771A4" w:rsidP="006645E2">
            <w:pPr>
              <w:widowControl w:val="0"/>
              <w:jc w:val="right"/>
              <w:rPr>
                <w:color w:val="000000"/>
                <w:sz w:val="22"/>
                <w:szCs w:val="22"/>
              </w:rPr>
            </w:pPr>
            <w:r w:rsidRPr="0094467F">
              <w:rPr>
                <w:color w:val="000000"/>
                <w:sz w:val="22"/>
                <w:szCs w:val="22"/>
              </w:rPr>
              <w:t>267650</w:t>
            </w:r>
          </w:p>
        </w:tc>
        <w:tc>
          <w:tcPr>
            <w:tcW w:w="990" w:type="dxa"/>
            <w:tcBorders>
              <w:top w:val="nil"/>
              <w:left w:val="nil"/>
              <w:bottom w:val="single" w:sz="4" w:space="0" w:color="auto"/>
              <w:right w:val="single" w:sz="4" w:space="0" w:color="auto"/>
            </w:tcBorders>
            <w:shd w:val="clear" w:color="auto" w:fill="auto"/>
            <w:vAlign w:val="bottom"/>
            <w:hideMark/>
          </w:tcPr>
          <w:p w:rsidR="00F771A4" w:rsidRPr="0094467F" w:rsidRDefault="00F771A4" w:rsidP="006645E2">
            <w:pPr>
              <w:widowControl w:val="0"/>
              <w:jc w:val="right"/>
              <w:rPr>
                <w:color w:val="000000"/>
                <w:sz w:val="22"/>
                <w:szCs w:val="22"/>
              </w:rPr>
            </w:pPr>
            <w:r w:rsidRPr="0094467F">
              <w:rPr>
                <w:color w:val="000000"/>
                <w:sz w:val="22"/>
                <w:szCs w:val="22"/>
              </w:rPr>
              <w:t>0%</w:t>
            </w:r>
          </w:p>
        </w:tc>
        <w:tc>
          <w:tcPr>
            <w:tcW w:w="1080" w:type="dxa"/>
            <w:tcBorders>
              <w:top w:val="nil"/>
              <w:left w:val="nil"/>
              <w:bottom w:val="single" w:sz="4" w:space="0" w:color="auto"/>
              <w:right w:val="single" w:sz="4" w:space="0" w:color="auto"/>
            </w:tcBorders>
            <w:shd w:val="clear" w:color="auto" w:fill="auto"/>
            <w:vAlign w:val="bottom"/>
            <w:hideMark/>
          </w:tcPr>
          <w:p w:rsidR="00F771A4" w:rsidRPr="0094467F" w:rsidRDefault="00F771A4" w:rsidP="006645E2">
            <w:pPr>
              <w:widowControl w:val="0"/>
              <w:jc w:val="right"/>
              <w:rPr>
                <w:color w:val="000000"/>
                <w:sz w:val="22"/>
                <w:szCs w:val="22"/>
              </w:rPr>
            </w:pPr>
            <w:r w:rsidRPr="0094467F">
              <w:rPr>
                <w:color w:val="000000"/>
                <w:sz w:val="22"/>
                <w:szCs w:val="22"/>
              </w:rPr>
              <w:t>21%</w:t>
            </w:r>
          </w:p>
        </w:tc>
      </w:tr>
      <w:tr w:rsidR="00F771A4" w:rsidRPr="00AD151D" w:rsidTr="0094467F">
        <w:trPr>
          <w:trHeight w:val="300"/>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F771A4" w:rsidRPr="0094467F" w:rsidRDefault="00F771A4" w:rsidP="006645E2">
            <w:pPr>
              <w:widowControl w:val="0"/>
              <w:rPr>
                <w:color w:val="000000"/>
                <w:sz w:val="20"/>
                <w:szCs w:val="20"/>
              </w:rPr>
            </w:pPr>
            <w:r w:rsidRPr="0094467F">
              <w:rPr>
                <w:color w:val="000000"/>
                <w:sz w:val="20"/>
                <w:szCs w:val="20"/>
              </w:rPr>
              <w:t>Software Limitation</w:t>
            </w:r>
          </w:p>
        </w:tc>
        <w:tc>
          <w:tcPr>
            <w:tcW w:w="1170" w:type="dxa"/>
            <w:tcBorders>
              <w:top w:val="nil"/>
              <w:left w:val="nil"/>
              <w:bottom w:val="single" w:sz="4" w:space="0" w:color="auto"/>
              <w:right w:val="single" w:sz="4" w:space="0" w:color="auto"/>
            </w:tcBorders>
            <w:shd w:val="clear" w:color="auto" w:fill="auto"/>
            <w:noWrap/>
            <w:vAlign w:val="bottom"/>
            <w:hideMark/>
          </w:tcPr>
          <w:p w:rsidR="00F771A4" w:rsidRPr="0094467F" w:rsidRDefault="00F771A4" w:rsidP="006645E2">
            <w:pPr>
              <w:widowControl w:val="0"/>
              <w:jc w:val="right"/>
              <w:rPr>
                <w:color w:val="000000"/>
                <w:sz w:val="22"/>
                <w:szCs w:val="22"/>
              </w:rPr>
            </w:pPr>
            <w:r w:rsidRPr="0094467F">
              <w:rPr>
                <w:color w:val="000000"/>
                <w:sz w:val="22"/>
                <w:szCs w:val="22"/>
              </w:rPr>
              <w:t>135986</w:t>
            </w:r>
          </w:p>
        </w:tc>
        <w:tc>
          <w:tcPr>
            <w:tcW w:w="1260" w:type="dxa"/>
            <w:tcBorders>
              <w:top w:val="nil"/>
              <w:left w:val="nil"/>
              <w:bottom w:val="single" w:sz="4" w:space="0" w:color="auto"/>
              <w:right w:val="single" w:sz="4" w:space="0" w:color="auto"/>
            </w:tcBorders>
            <w:shd w:val="clear" w:color="auto" w:fill="auto"/>
            <w:noWrap/>
            <w:vAlign w:val="bottom"/>
            <w:hideMark/>
          </w:tcPr>
          <w:p w:rsidR="00F771A4" w:rsidRPr="0094467F" w:rsidRDefault="00F771A4" w:rsidP="006645E2">
            <w:pPr>
              <w:widowControl w:val="0"/>
              <w:jc w:val="right"/>
              <w:rPr>
                <w:color w:val="000000"/>
                <w:sz w:val="22"/>
                <w:szCs w:val="22"/>
              </w:rPr>
            </w:pPr>
            <w:r w:rsidRPr="0094467F">
              <w:rPr>
                <w:color w:val="000000"/>
                <w:sz w:val="22"/>
                <w:szCs w:val="22"/>
              </w:rPr>
              <w:t>119617</w:t>
            </w:r>
          </w:p>
        </w:tc>
        <w:tc>
          <w:tcPr>
            <w:tcW w:w="990" w:type="dxa"/>
            <w:tcBorders>
              <w:top w:val="nil"/>
              <w:left w:val="nil"/>
              <w:bottom w:val="single" w:sz="4" w:space="0" w:color="auto"/>
              <w:right w:val="single" w:sz="4" w:space="0" w:color="auto"/>
            </w:tcBorders>
            <w:shd w:val="clear" w:color="auto" w:fill="auto"/>
            <w:vAlign w:val="bottom"/>
            <w:hideMark/>
          </w:tcPr>
          <w:p w:rsidR="00F771A4" w:rsidRPr="0094467F" w:rsidRDefault="00F771A4" w:rsidP="006645E2">
            <w:pPr>
              <w:widowControl w:val="0"/>
              <w:jc w:val="right"/>
              <w:rPr>
                <w:color w:val="000000"/>
                <w:sz w:val="22"/>
                <w:szCs w:val="22"/>
              </w:rPr>
            </w:pPr>
            <w:r w:rsidRPr="0094467F">
              <w:rPr>
                <w:color w:val="000000"/>
                <w:sz w:val="22"/>
                <w:szCs w:val="22"/>
              </w:rPr>
              <w:t>14%</w:t>
            </w:r>
          </w:p>
        </w:tc>
        <w:tc>
          <w:tcPr>
            <w:tcW w:w="1080" w:type="dxa"/>
            <w:tcBorders>
              <w:top w:val="nil"/>
              <w:left w:val="nil"/>
              <w:bottom w:val="single" w:sz="4" w:space="0" w:color="auto"/>
              <w:right w:val="single" w:sz="4" w:space="0" w:color="auto"/>
            </w:tcBorders>
            <w:shd w:val="clear" w:color="auto" w:fill="auto"/>
            <w:vAlign w:val="bottom"/>
            <w:hideMark/>
          </w:tcPr>
          <w:p w:rsidR="00F771A4" w:rsidRPr="0094467F" w:rsidRDefault="00F771A4" w:rsidP="006645E2">
            <w:pPr>
              <w:widowControl w:val="0"/>
              <w:jc w:val="right"/>
              <w:rPr>
                <w:color w:val="000000"/>
                <w:sz w:val="22"/>
                <w:szCs w:val="22"/>
              </w:rPr>
            </w:pPr>
            <w:r w:rsidRPr="0094467F">
              <w:rPr>
                <w:color w:val="000000"/>
                <w:sz w:val="22"/>
                <w:szCs w:val="22"/>
              </w:rPr>
              <w:t>11%</w:t>
            </w:r>
          </w:p>
        </w:tc>
      </w:tr>
      <w:tr w:rsidR="00F771A4" w:rsidRPr="00AD151D" w:rsidTr="0094467F">
        <w:trPr>
          <w:trHeight w:val="300"/>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F771A4" w:rsidRPr="0094467F" w:rsidRDefault="00F771A4" w:rsidP="006645E2">
            <w:pPr>
              <w:widowControl w:val="0"/>
              <w:rPr>
                <w:color w:val="000000"/>
                <w:sz w:val="20"/>
                <w:szCs w:val="20"/>
              </w:rPr>
            </w:pPr>
            <w:r w:rsidRPr="0094467F">
              <w:rPr>
                <w:color w:val="000000"/>
                <w:sz w:val="20"/>
                <w:szCs w:val="20"/>
              </w:rPr>
              <w:t>System Reliability</w:t>
            </w:r>
          </w:p>
        </w:tc>
        <w:tc>
          <w:tcPr>
            <w:tcW w:w="1170" w:type="dxa"/>
            <w:tcBorders>
              <w:top w:val="nil"/>
              <w:left w:val="nil"/>
              <w:bottom w:val="single" w:sz="4" w:space="0" w:color="auto"/>
              <w:right w:val="single" w:sz="4" w:space="0" w:color="auto"/>
            </w:tcBorders>
            <w:shd w:val="clear" w:color="auto" w:fill="auto"/>
            <w:noWrap/>
            <w:vAlign w:val="bottom"/>
            <w:hideMark/>
          </w:tcPr>
          <w:p w:rsidR="00F771A4" w:rsidRPr="0094467F" w:rsidRDefault="00F771A4" w:rsidP="006645E2">
            <w:pPr>
              <w:widowControl w:val="0"/>
              <w:jc w:val="right"/>
              <w:rPr>
                <w:color w:val="000000"/>
                <w:sz w:val="22"/>
                <w:szCs w:val="22"/>
              </w:rPr>
            </w:pPr>
            <w:r w:rsidRPr="0094467F">
              <w:rPr>
                <w:color w:val="000000"/>
                <w:sz w:val="22"/>
                <w:szCs w:val="22"/>
              </w:rPr>
              <w:t>197495</w:t>
            </w:r>
          </w:p>
        </w:tc>
        <w:tc>
          <w:tcPr>
            <w:tcW w:w="1260" w:type="dxa"/>
            <w:tcBorders>
              <w:top w:val="nil"/>
              <w:left w:val="nil"/>
              <w:bottom w:val="single" w:sz="4" w:space="0" w:color="auto"/>
              <w:right w:val="single" w:sz="4" w:space="0" w:color="auto"/>
            </w:tcBorders>
            <w:shd w:val="clear" w:color="auto" w:fill="auto"/>
            <w:noWrap/>
            <w:vAlign w:val="bottom"/>
            <w:hideMark/>
          </w:tcPr>
          <w:p w:rsidR="00F771A4" w:rsidRPr="0094467F" w:rsidRDefault="00F771A4" w:rsidP="006645E2">
            <w:pPr>
              <w:widowControl w:val="0"/>
              <w:jc w:val="right"/>
              <w:rPr>
                <w:color w:val="000000"/>
                <w:sz w:val="22"/>
                <w:szCs w:val="22"/>
              </w:rPr>
            </w:pPr>
            <w:r w:rsidRPr="0094467F">
              <w:rPr>
                <w:color w:val="000000"/>
                <w:sz w:val="22"/>
                <w:szCs w:val="22"/>
              </w:rPr>
              <w:t>257691</w:t>
            </w:r>
          </w:p>
        </w:tc>
        <w:tc>
          <w:tcPr>
            <w:tcW w:w="990" w:type="dxa"/>
            <w:tcBorders>
              <w:top w:val="nil"/>
              <w:left w:val="nil"/>
              <w:bottom w:val="single" w:sz="4" w:space="0" w:color="auto"/>
              <w:right w:val="single" w:sz="4" w:space="0" w:color="auto"/>
            </w:tcBorders>
            <w:shd w:val="clear" w:color="auto" w:fill="auto"/>
            <w:vAlign w:val="bottom"/>
            <w:hideMark/>
          </w:tcPr>
          <w:p w:rsidR="00F771A4" w:rsidRPr="0094467F" w:rsidRDefault="00F771A4" w:rsidP="006645E2">
            <w:pPr>
              <w:widowControl w:val="0"/>
              <w:jc w:val="right"/>
              <w:rPr>
                <w:color w:val="000000"/>
                <w:sz w:val="22"/>
                <w:szCs w:val="22"/>
              </w:rPr>
            </w:pPr>
            <w:r w:rsidRPr="0094467F">
              <w:rPr>
                <w:color w:val="000000"/>
                <w:sz w:val="22"/>
                <w:szCs w:val="22"/>
              </w:rPr>
              <w:t>-23%</w:t>
            </w:r>
          </w:p>
        </w:tc>
        <w:tc>
          <w:tcPr>
            <w:tcW w:w="1080" w:type="dxa"/>
            <w:tcBorders>
              <w:top w:val="nil"/>
              <w:left w:val="nil"/>
              <w:bottom w:val="single" w:sz="4" w:space="0" w:color="auto"/>
              <w:right w:val="single" w:sz="4" w:space="0" w:color="auto"/>
            </w:tcBorders>
            <w:shd w:val="clear" w:color="auto" w:fill="auto"/>
            <w:vAlign w:val="bottom"/>
            <w:hideMark/>
          </w:tcPr>
          <w:p w:rsidR="00F771A4" w:rsidRPr="0094467F" w:rsidRDefault="00F771A4" w:rsidP="006645E2">
            <w:pPr>
              <w:widowControl w:val="0"/>
              <w:jc w:val="right"/>
              <w:rPr>
                <w:color w:val="000000"/>
                <w:sz w:val="22"/>
                <w:szCs w:val="22"/>
              </w:rPr>
            </w:pPr>
            <w:r w:rsidRPr="0094467F">
              <w:rPr>
                <w:color w:val="000000"/>
                <w:sz w:val="22"/>
                <w:szCs w:val="22"/>
              </w:rPr>
              <w:t>15%</w:t>
            </w:r>
          </w:p>
        </w:tc>
      </w:tr>
      <w:tr w:rsidR="00F771A4" w:rsidRPr="00AD151D" w:rsidTr="0094467F">
        <w:trPr>
          <w:trHeight w:val="300"/>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F771A4" w:rsidRPr="0094467F" w:rsidRDefault="00F771A4" w:rsidP="006645E2">
            <w:pPr>
              <w:widowControl w:val="0"/>
              <w:rPr>
                <w:color w:val="000000"/>
                <w:sz w:val="22"/>
                <w:szCs w:val="22"/>
              </w:rPr>
            </w:pPr>
            <w:r w:rsidRPr="0094467F">
              <w:rPr>
                <w:color w:val="000000"/>
                <w:sz w:val="22"/>
                <w:szCs w:val="22"/>
              </w:rPr>
              <w:t>Transmission Mitigation</w:t>
            </w:r>
          </w:p>
        </w:tc>
        <w:tc>
          <w:tcPr>
            <w:tcW w:w="1170" w:type="dxa"/>
            <w:tcBorders>
              <w:top w:val="nil"/>
              <w:left w:val="nil"/>
              <w:bottom w:val="single" w:sz="4" w:space="0" w:color="auto"/>
              <w:right w:val="single" w:sz="4" w:space="0" w:color="auto"/>
            </w:tcBorders>
            <w:shd w:val="clear" w:color="auto" w:fill="auto"/>
            <w:noWrap/>
            <w:vAlign w:val="bottom"/>
            <w:hideMark/>
          </w:tcPr>
          <w:p w:rsidR="00F771A4" w:rsidRPr="0094467F" w:rsidRDefault="00F771A4" w:rsidP="006645E2">
            <w:pPr>
              <w:widowControl w:val="0"/>
              <w:jc w:val="right"/>
              <w:rPr>
                <w:color w:val="000000"/>
                <w:sz w:val="22"/>
                <w:szCs w:val="22"/>
              </w:rPr>
            </w:pPr>
            <w:r w:rsidRPr="0094467F">
              <w:rPr>
                <w:color w:val="000000"/>
                <w:sz w:val="22"/>
                <w:szCs w:val="22"/>
              </w:rPr>
              <w:t>52642</w:t>
            </w:r>
          </w:p>
        </w:tc>
        <w:tc>
          <w:tcPr>
            <w:tcW w:w="1260" w:type="dxa"/>
            <w:tcBorders>
              <w:top w:val="nil"/>
              <w:left w:val="nil"/>
              <w:bottom w:val="single" w:sz="4" w:space="0" w:color="auto"/>
              <w:right w:val="single" w:sz="4" w:space="0" w:color="auto"/>
            </w:tcBorders>
            <w:shd w:val="clear" w:color="auto" w:fill="auto"/>
            <w:noWrap/>
            <w:vAlign w:val="bottom"/>
            <w:hideMark/>
          </w:tcPr>
          <w:p w:rsidR="00F771A4" w:rsidRPr="0094467F" w:rsidRDefault="00F771A4" w:rsidP="006645E2">
            <w:pPr>
              <w:widowControl w:val="0"/>
              <w:jc w:val="right"/>
              <w:rPr>
                <w:color w:val="000000"/>
                <w:sz w:val="22"/>
                <w:szCs w:val="22"/>
              </w:rPr>
            </w:pPr>
            <w:r w:rsidRPr="0094467F">
              <w:rPr>
                <w:color w:val="000000"/>
                <w:sz w:val="22"/>
                <w:szCs w:val="22"/>
              </w:rPr>
              <w:t>85702</w:t>
            </w:r>
          </w:p>
        </w:tc>
        <w:tc>
          <w:tcPr>
            <w:tcW w:w="990" w:type="dxa"/>
            <w:tcBorders>
              <w:top w:val="nil"/>
              <w:left w:val="nil"/>
              <w:bottom w:val="single" w:sz="4" w:space="0" w:color="auto"/>
              <w:right w:val="single" w:sz="4" w:space="0" w:color="auto"/>
            </w:tcBorders>
            <w:shd w:val="clear" w:color="auto" w:fill="auto"/>
            <w:vAlign w:val="bottom"/>
            <w:hideMark/>
          </w:tcPr>
          <w:p w:rsidR="00F771A4" w:rsidRPr="0094467F" w:rsidRDefault="00F771A4" w:rsidP="006645E2">
            <w:pPr>
              <w:widowControl w:val="0"/>
              <w:jc w:val="right"/>
              <w:rPr>
                <w:color w:val="000000"/>
                <w:sz w:val="22"/>
                <w:szCs w:val="22"/>
              </w:rPr>
            </w:pPr>
            <w:r w:rsidRPr="0094467F">
              <w:rPr>
                <w:color w:val="000000"/>
                <w:sz w:val="22"/>
                <w:szCs w:val="22"/>
              </w:rPr>
              <w:t>-39%</w:t>
            </w:r>
          </w:p>
        </w:tc>
        <w:tc>
          <w:tcPr>
            <w:tcW w:w="1080" w:type="dxa"/>
            <w:tcBorders>
              <w:top w:val="nil"/>
              <w:left w:val="nil"/>
              <w:bottom w:val="single" w:sz="4" w:space="0" w:color="auto"/>
              <w:right w:val="single" w:sz="4" w:space="0" w:color="auto"/>
            </w:tcBorders>
            <w:shd w:val="clear" w:color="auto" w:fill="auto"/>
            <w:vAlign w:val="bottom"/>
            <w:hideMark/>
          </w:tcPr>
          <w:p w:rsidR="00F771A4" w:rsidRPr="0094467F" w:rsidRDefault="00F771A4" w:rsidP="006645E2">
            <w:pPr>
              <w:widowControl w:val="0"/>
              <w:jc w:val="right"/>
              <w:rPr>
                <w:color w:val="000000"/>
                <w:sz w:val="22"/>
                <w:szCs w:val="22"/>
              </w:rPr>
            </w:pPr>
            <w:r w:rsidRPr="0094467F">
              <w:rPr>
                <w:color w:val="000000"/>
                <w:sz w:val="22"/>
                <w:szCs w:val="22"/>
              </w:rPr>
              <w:t>4%</w:t>
            </w:r>
          </w:p>
        </w:tc>
      </w:tr>
      <w:tr w:rsidR="00F771A4" w:rsidRPr="00AD151D" w:rsidTr="0094467F">
        <w:trPr>
          <w:trHeight w:val="300"/>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F771A4" w:rsidRPr="0094467F" w:rsidRDefault="00F771A4" w:rsidP="006645E2">
            <w:pPr>
              <w:widowControl w:val="0"/>
              <w:rPr>
                <w:color w:val="000000"/>
                <w:sz w:val="20"/>
                <w:szCs w:val="20"/>
              </w:rPr>
            </w:pPr>
            <w:r w:rsidRPr="0094467F">
              <w:rPr>
                <w:color w:val="000000"/>
                <w:sz w:val="20"/>
                <w:szCs w:val="20"/>
              </w:rPr>
              <w:t>Transmission procedure</w:t>
            </w:r>
          </w:p>
        </w:tc>
        <w:tc>
          <w:tcPr>
            <w:tcW w:w="1170" w:type="dxa"/>
            <w:tcBorders>
              <w:top w:val="nil"/>
              <w:left w:val="nil"/>
              <w:bottom w:val="single" w:sz="4" w:space="0" w:color="auto"/>
              <w:right w:val="single" w:sz="4" w:space="0" w:color="auto"/>
            </w:tcBorders>
            <w:shd w:val="clear" w:color="auto" w:fill="auto"/>
            <w:noWrap/>
            <w:vAlign w:val="bottom"/>
            <w:hideMark/>
          </w:tcPr>
          <w:p w:rsidR="00F771A4" w:rsidRPr="0094467F" w:rsidRDefault="00F771A4" w:rsidP="006645E2">
            <w:pPr>
              <w:widowControl w:val="0"/>
              <w:jc w:val="right"/>
              <w:rPr>
                <w:color w:val="000000"/>
                <w:sz w:val="22"/>
                <w:szCs w:val="22"/>
              </w:rPr>
            </w:pPr>
            <w:r w:rsidRPr="0094467F">
              <w:rPr>
                <w:color w:val="000000"/>
                <w:sz w:val="22"/>
                <w:szCs w:val="22"/>
              </w:rPr>
              <w:t>155459</w:t>
            </w:r>
          </w:p>
        </w:tc>
        <w:tc>
          <w:tcPr>
            <w:tcW w:w="1260" w:type="dxa"/>
            <w:tcBorders>
              <w:top w:val="nil"/>
              <w:left w:val="nil"/>
              <w:bottom w:val="single" w:sz="4" w:space="0" w:color="auto"/>
              <w:right w:val="single" w:sz="4" w:space="0" w:color="auto"/>
            </w:tcBorders>
            <w:shd w:val="clear" w:color="auto" w:fill="auto"/>
            <w:noWrap/>
            <w:vAlign w:val="bottom"/>
            <w:hideMark/>
          </w:tcPr>
          <w:p w:rsidR="00F771A4" w:rsidRPr="0094467F" w:rsidRDefault="00F771A4" w:rsidP="006645E2">
            <w:pPr>
              <w:widowControl w:val="0"/>
              <w:jc w:val="right"/>
              <w:rPr>
                <w:color w:val="000000"/>
                <w:sz w:val="22"/>
                <w:szCs w:val="22"/>
              </w:rPr>
            </w:pPr>
            <w:r w:rsidRPr="0094467F">
              <w:rPr>
                <w:color w:val="000000"/>
                <w:sz w:val="22"/>
                <w:szCs w:val="22"/>
              </w:rPr>
              <w:t>299429</w:t>
            </w:r>
          </w:p>
        </w:tc>
        <w:tc>
          <w:tcPr>
            <w:tcW w:w="990" w:type="dxa"/>
            <w:tcBorders>
              <w:top w:val="nil"/>
              <w:left w:val="nil"/>
              <w:bottom w:val="single" w:sz="4" w:space="0" w:color="auto"/>
              <w:right w:val="single" w:sz="4" w:space="0" w:color="auto"/>
            </w:tcBorders>
            <w:shd w:val="clear" w:color="auto" w:fill="auto"/>
            <w:vAlign w:val="bottom"/>
            <w:hideMark/>
          </w:tcPr>
          <w:p w:rsidR="00F771A4" w:rsidRPr="0094467F" w:rsidRDefault="00F771A4" w:rsidP="006645E2">
            <w:pPr>
              <w:widowControl w:val="0"/>
              <w:jc w:val="right"/>
              <w:rPr>
                <w:color w:val="000000"/>
                <w:sz w:val="22"/>
                <w:szCs w:val="22"/>
              </w:rPr>
            </w:pPr>
            <w:r w:rsidRPr="0094467F">
              <w:rPr>
                <w:color w:val="000000"/>
                <w:sz w:val="22"/>
                <w:szCs w:val="22"/>
              </w:rPr>
              <w:t>-48%</w:t>
            </w:r>
          </w:p>
        </w:tc>
        <w:tc>
          <w:tcPr>
            <w:tcW w:w="1080" w:type="dxa"/>
            <w:tcBorders>
              <w:top w:val="nil"/>
              <w:left w:val="nil"/>
              <w:bottom w:val="single" w:sz="4" w:space="0" w:color="auto"/>
              <w:right w:val="single" w:sz="4" w:space="0" w:color="auto"/>
            </w:tcBorders>
            <w:shd w:val="clear" w:color="auto" w:fill="auto"/>
            <w:vAlign w:val="bottom"/>
            <w:hideMark/>
          </w:tcPr>
          <w:p w:rsidR="00F771A4" w:rsidRPr="0094467F" w:rsidRDefault="00F771A4" w:rsidP="006645E2">
            <w:pPr>
              <w:widowControl w:val="0"/>
              <w:jc w:val="right"/>
              <w:rPr>
                <w:color w:val="000000"/>
                <w:sz w:val="22"/>
                <w:szCs w:val="22"/>
              </w:rPr>
            </w:pPr>
            <w:r w:rsidRPr="0094467F">
              <w:rPr>
                <w:color w:val="000000"/>
                <w:sz w:val="22"/>
                <w:szCs w:val="22"/>
              </w:rPr>
              <w:t>12%</w:t>
            </w:r>
          </w:p>
        </w:tc>
      </w:tr>
      <w:tr w:rsidR="00F771A4" w:rsidRPr="00AD151D" w:rsidTr="0094467F">
        <w:trPr>
          <w:trHeight w:val="300"/>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F771A4" w:rsidRPr="0094467F" w:rsidRDefault="00F771A4" w:rsidP="006645E2">
            <w:pPr>
              <w:widowControl w:val="0"/>
              <w:rPr>
                <w:color w:val="000000"/>
                <w:sz w:val="20"/>
                <w:szCs w:val="20"/>
              </w:rPr>
            </w:pPr>
            <w:r w:rsidRPr="0094467F">
              <w:rPr>
                <w:color w:val="000000"/>
                <w:sz w:val="20"/>
                <w:szCs w:val="20"/>
              </w:rPr>
              <w:t>Unit Testing</w:t>
            </w:r>
          </w:p>
        </w:tc>
        <w:tc>
          <w:tcPr>
            <w:tcW w:w="1170" w:type="dxa"/>
            <w:tcBorders>
              <w:top w:val="nil"/>
              <w:left w:val="nil"/>
              <w:bottom w:val="single" w:sz="4" w:space="0" w:color="auto"/>
              <w:right w:val="single" w:sz="4" w:space="0" w:color="auto"/>
            </w:tcBorders>
            <w:shd w:val="clear" w:color="auto" w:fill="auto"/>
            <w:noWrap/>
            <w:vAlign w:val="bottom"/>
            <w:hideMark/>
          </w:tcPr>
          <w:p w:rsidR="00F771A4" w:rsidRPr="0094467F" w:rsidRDefault="00F771A4" w:rsidP="006645E2">
            <w:pPr>
              <w:widowControl w:val="0"/>
              <w:jc w:val="right"/>
              <w:rPr>
                <w:color w:val="000000"/>
                <w:sz w:val="22"/>
                <w:szCs w:val="22"/>
              </w:rPr>
            </w:pPr>
            <w:r w:rsidRPr="0094467F">
              <w:rPr>
                <w:color w:val="000000"/>
                <w:sz w:val="22"/>
                <w:szCs w:val="22"/>
              </w:rPr>
              <w:t>44047</w:t>
            </w:r>
          </w:p>
        </w:tc>
        <w:tc>
          <w:tcPr>
            <w:tcW w:w="1260" w:type="dxa"/>
            <w:tcBorders>
              <w:top w:val="nil"/>
              <w:left w:val="nil"/>
              <w:bottom w:val="single" w:sz="4" w:space="0" w:color="auto"/>
              <w:right w:val="single" w:sz="4" w:space="0" w:color="auto"/>
            </w:tcBorders>
            <w:shd w:val="clear" w:color="auto" w:fill="auto"/>
            <w:noWrap/>
            <w:vAlign w:val="bottom"/>
            <w:hideMark/>
          </w:tcPr>
          <w:p w:rsidR="00F771A4" w:rsidRPr="0094467F" w:rsidRDefault="00F771A4" w:rsidP="006645E2">
            <w:pPr>
              <w:widowControl w:val="0"/>
              <w:jc w:val="right"/>
              <w:rPr>
                <w:color w:val="000000"/>
                <w:sz w:val="22"/>
                <w:szCs w:val="22"/>
              </w:rPr>
            </w:pPr>
            <w:r w:rsidRPr="0094467F">
              <w:rPr>
                <w:color w:val="000000"/>
                <w:sz w:val="22"/>
                <w:szCs w:val="22"/>
              </w:rPr>
              <w:t>85508</w:t>
            </w:r>
          </w:p>
        </w:tc>
        <w:tc>
          <w:tcPr>
            <w:tcW w:w="990" w:type="dxa"/>
            <w:tcBorders>
              <w:top w:val="nil"/>
              <w:left w:val="nil"/>
              <w:bottom w:val="single" w:sz="4" w:space="0" w:color="auto"/>
              <w:right w:val="single" w:sz="4" w:space="0" w:color="auto"/>
            </w:tcBorders>
            <w:shd w:val="clear" w:color="auto" w:fill="auto"/>
            <w:vAlign w:val="bottom"/>
            <w:hideMark/>
          </w:tcPr>
          <w:p w:rsidR="00F771A4" w:rsidRPr="0094467F" w:rsidRDefault="00F771A4" w:rsidP="006645E2">
            <w:pPr>
              <w:widowControl w:val="0"/>
              <w:jc w:val="right"/>
              <w:rPr>
                <w:color w:val="000000"/>
                <w:sz w:val="22"/>
                <w:szCs w:val="22"/>
              </w:rPr>
            </w:pPr>
            <w:r w:rsidRPr="0094467F">
              <w:rPr>
                <w:color w:val="000000"/>
                <w:sz w:val="22"/>
                <w:szCs w:val="22"/>
              </w:rPr>
              <w:t>-48%</w:t>
            </w:r>
          </w:p>
        </w:tc>
        <w:tc>
          <w:tcPr>
            <w:tcW w:w="1080" w:type="dxa"/>
            <w:tcBorders>
              <w:top w:val="nil"/>
              <w:left w:val="nil"/>
              <w:bottom w:val="single" w:sz="4" w:space="0" w:color="auto"/>
              <w:right w:val="single" w:sz="4" w:space="0" w:color="auto"/>
            </w:tcBorders>
            <w:shd w:val="clear" w:color="auto" w:fill="auto"/>
            <w:vAlign w:val="bottom"/>
            <w:hideMark/>
          </w:tcPr>
          <w:p w:rsidR="00F771A4" w:rsidRPr="0094467F" w:rsidRDefault="00F771A4" w:rsidP="006645E2">
            <w:pPr>
              <w:widowControl w:val="0"/>
              <w:jc w:val="right"/>
              <w:rPr>
                <w:color w:val="000000"/>
                <w:sz w:val="22"/>
                <w:szCs w:val="22"/>
              </w:rPr>
            </w:pPr>
            <w:r w:rsidRPr="0094467F">
              <w:rPr>
                <w:color w:val="000000"/>
                <w:sz w:val="22"/>
                <w:szCs w:val="22"/>
              </w:rPr>
              <w:t>3%</w:t>
            </w:r>
          </w:p>
        </w:tc>
      </w:tr>
      <w:tr w:rsidR="00F771A4" w:rsidRPr="00AD151D" w:rsidTr="0094467F">
        <w:trPr>
          <w:trHeight w:val="300"/>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rsidR="00F771A4" w:rsidRPr="0094467F" w:rsidRDefault="00F771A4" w:rsidP="006645E2">
            <w:pPr>
              <w:widowControl w:val="0"/>
              <w:rPr>
                <w:color w:val="000000"/>
                <w:sz w:val="20"/>
                <w:szCs w:val="20"/>
              </w:rPr>
            </w:pPr>
            <w:r w:rsidRPr="0094467F">
              <w:rPr>
                <w:color w:val="000000"/>
                <w:sz w:val="20"/>
                <w:szCs w:val="20"/>
              </w:rPr>
              <w:t>Zonal Import Limits</w:t>
            </w:r>
          </w:p>
        </w:tc>
        <w:tc>
          <w:tcPr>
            <w:tcW w:w="1170" w:type="dxa"/>
            <w:tcBorders>
              <w:top w:val="nil"/>
              <w:left w:val="nil"/>
              <w:bottom w:val="single" w:sz="4" w:space="0" w:color="auto"/>
              <w:right w:val="single" w:sz="4" w:space="0" w:color="auto"/>
            </w:tcBorders>
            <w:shd w:val="clear" w:color="auto" w:fill="auto"/>
            <w:noWrap/>
            <w:vAlign w:val="bottom"/>
            <w:hideMark/>
          </w:tcPr>
          <w:p w:rsidR="00F771A4" w:rsidRPr="0094467F" w:rsidRDefault="00F771A4" w:rsidP="006645E2">
            <w:pPr>
              <w:widowControl w:val="0"/>
              <w:jc w:val="right"/>
              <w:rPr>
                <w:color w:val="000000"/>
                <w:sz w:val="22"/>
                <w:szCs w:val="22"/>
              </w:rPr>
            </w:pPr>
            <w:r w:rsidRPr="0094467F">
              <w:rPr>
                <w:color w:val="000000"/>
                <w:sz w:val="22"/>
                <w:szCs w:val="22"/>
              </w:rPr>
              <w:t>487</w:t>
            </w:r>
          </w:p>
        </w:tc>
        <w:tc>
          <w:tcPr>
            <w:tcW w:w="1260" w:type="dxa"/>
            <w:tcBorders>
              <w:top w:val="nil"/>
              <w:left w:val="nil"/>
              <w:bottom w:val="single" w:sz="4" w:space="0" w:color="auto"/>
              <w:right w:val="single" w:sz="4" w:space="0" w:color="auto"/>
            </w:tcBorders>
            <w:shd w:val="clear" w:color="auto" w:fill="auto"/>
            <w:noWrap/>
            <w:vAlign w:val="bottom"/>
            <w:hideMark/>
          </w:tcPr>
          <w:p w:rsidR="00F771A4" w:rsidRPr="0094467F" w:rsidRDefault="00F771A4" w:rsidP="006645E2">
            <w:pPr>
              <w:widowControl w:val="0"/>
              <w:jc w:val="right"/>
              <w:rPr>
                <w:color w:val="000000"/>
                <w:sz w:val="22"/>
                <w:szCs w:val="22"/>
              </w:rPr>
            </w:pPr>
            <w:r w:rsidRPr="0094467F">
              <w:rPr>
                <w:color w:val="000000"/>
                <w:sz w:val="22"/>
                <w:szCs w:val="22"/>
              </w:rPr>
              <w:t>17348</w:t>
            </w:r>
          </w:p>
        </w:tc>
        <w:tc>
          <w:tcPr>
            <w:tcW w:w="990" w:type="dxa"/>
            <w:tcBorders>
              <w:top w:val="nil"/>
              <w:left w:val="nil"/>
              <w:bottom w:val="single" w:sz="4" w:space="0" w:color="auto"/>
              <w:right w:val="single" w:sz="4" w:space="0" w:color="auto"/>
            </w:tcBorders>
            <w:shd w:val="clear" w:color="auto" w:fill="auto"/>
            <w:vAlign w:val="bottom"/>
            <w:hideMark/>
          </w:tcPr>
          <w:p w:rsidR="00F771A4" w:rsidRPr="0094467F" w:rsidRDefault="00F771A4" w:rsidP="006645E2">
            <w:pPr>
              <w:widowControl w:val="0"/>
              <w:jc w:val="right"/>
              <w:rPr>
                <w:color w:val="000000"/>
                <w:sz w:val="22"/>
                <w:szCs w:val="22"/>
              </w:rPr>
            </w:pPr>
            <w:r w:rsidRPr="0094467F">
              <w:rPr>
                <w:color w:val="000000"/>
                <w:sz w:val="22"/>
                <w:szCs w:val="22"/>
              </w:rPr>
              <w:t>-97%</w:t>
            </w:r>
          </w:p>
        </w:tc>
        <w:tc>
          <w:tcPr>
            <w:tcW w:w="1080" w:type="dxa"/>
            <w:tcBorders>
              <w:top w:val="nil"/>
              <w:left w:val="nil"/>
              <w:bottom w:val="single" w:sz="4" w:space="0" w:color="auto"/>
              <w:right w:val="single" w:sz="4" w:space="0" w:color="auto"/>
            </w:tcBorders>
            <w:shd w:val="clear" w:color="auto" w:fill="auto"/>
            <w:vAlign w:val="bottom"/>
            <w:hideMark/>
          </w:tcPr>
          <w:p w:rsidR="00F771A4" w:rsidRPr="0094467F" w:rsidRDefault="00F771A4" w:rsidP="006645E2">
            <w:pPr>
              <w:widowControl w:val="0"/>
              <w:jc w:val="right"/>
              <w:rPr>
                <w:color w:val="000000"/>
                <w:sz w:val="22"/>
                <w:szCs w:val="22"/>
              </w:rPr>
            </w:pPr>
            <w:r w:rsidRPr="0094467F">
              <w:rPr>
                <w:color w:val="000000"/>
                <w:sz w:val="22"/>
                <w:szCs w:val="22"/>
              </w:rPr>
              <w:t>0%</w:t>
            </w:r>
          </w:p>
        </w:tc>
      </w:tr>
      <w:tr w:rsidR="00F771A4" w:rsidRPr="00AD151D" w:rsidTr="0094467F">
        <w:trPr>
          <w:trHeight w:val="300"/>
        </w:trPr>
        <w:tc>
          <w:tcPr>
            <w:tcW w:w="3165" w:type="dxa"/>
            <w:tcBorders>
              <w:top w:val="nil"/>
              <w:left w:val="single" w:sz="4" w:space="0" w:color="auto"/>
              <w:bottom w:val="nil"/>
              <w:right w:val="single" w:sz="4" w:space="0" w:color="auto"/>
            </w:tcBorders>
            <w:shd w:val="clear" w:color="auto" w:fill="auto"/>
            <w:noWrap/>
            <w:vAlign w:val="bottom"/>
            <w:hideMark/>
          </w:tcPr>
          <w:p w:rsidR="00F771A4" w:rsidRPr="0094467F" w:rsidRDefault="00F771A4" w:rsidP="006645E2">
            <w:pPr>
              <w:widowControl w:val="0"/>
              <w:rPr>
                <w:color w:val="000000"/>
                <w:sz w:val="20"/>
                <w:szCs w:val="20"/>
              </w:rPr>
            </w:pPr>
            <w:r w:rsidRPr="0094467F">
              <w:rPr>
                <w:color w:val="000000"/>
                <w:sz w:val="20"/>
                <w:szCs w:val="20"/>
              </w:rPr>
              <w:t>Other</w:t>
            </w:r>
          </w:p>
        </w:tc>
        <w:tc>
          <w:tcPr>
            <w:tcW w:w="1170" w:type="dxa"/>
            <w:tcBorders>
              <w:top w:val="nil"/>
              <w:left w:val="nil"/>
              <w:bottom w:val="single" w:sz="4" w:space="0" w:color="auto"/>
              <w:right w:val="single" w:sz="4" w:space="0" w:color="auto"/>
            </w:tcBorders>
            <w:shd w:val="clear" w:color="auto" w:fill="auto"/>
            <w:noWrap/>
            <w:vAlign w:val="bottom"/>
            <w:hideMark/>
          </w:tcPr>
          <w:p w:rsidR="00F771A4" w:rsidRPr="0094467F" w:rsidRDefault="00F771A4" w:rsidP="006645E2">
            <w:pPr>
              <w:widowControl w:val="0"/>
              <w:jc w:val="right"/>
              <w:rPr>
                <w:color w:val="000000"/>
                <w:sz w:val="22"/>
                <w:szCs w:val="22"/>
              </w:rPr>
            </w:pPr>
            <w:r w:rsidRPr="0094467F">
              <w:rPr>
                <w:color w:val="000000"/>
                <w:sz w:val="22"/>
                <w:szCs w:val="22"/>
              </w:rPr>
              <w:t>138833</w:t>
            </w:r>
          </w:p>
        </w:tc>
        <w:tc>
          <w:tcPr>
            <w:tcW w:w="1260" w:type="dxa"/>
            <w:tcBorders>
              <w:top w:val="nil"/>
              <w:left w:val="nil"/>
              <w:bottom w:val="single" w:sz="4" w:space="0" w:color="auto"/>
              <w:right w:val="single" w:sz="4" w:space="0" w:color="auto"/>
            </w:tcBorders>
            <w:shd w:val="clear" w:color="auto" w:fill="auto"/>
            <w:noWrap/>
            <w:vAlign w:val="bottom"/>
            <w:hideMark/>
          </w:tcPr>
          <w:p w:rsidR="00F771A4" w:rsidRPr="0094467F" w:rsidRDefault="00F771A4" w:rsidP="006645E2">
            <w:pPr>
              <w:widowControl w:val="0"/>
              <w:jc w:val="right"/>
              <w:rPr>
                <w:color w:val="000000"/>
                <w:sz w:val="22"/>
                <w:szCs w:val="22"/>
              </w:rPr>
            </w:pPr>
            <w:r w:rsidRPr="0094467F">
              <w:rPr>
                <w:color w:val="000000"/>
                <w:sz w:val="22"/>
                <w:szCs w:val="22"/>
              </w:rPr>
              <w:t>16422</w:t>
            </w:r>
          </w:p>
        </w:tc>
        <w:tc>
          <w:tcPr>
            <w:tcW w:w="990" w:type="dxa"/>
            <w:tcBorders>
              <w:top w:val="nil"/>
              <w:left w:val="nil"/>
              <w:bottom w:val="single" w:sz="4" w:space="0" w:color="auto"/>
              <w:right w:val="single" w:sz="4" w:space="0" w:color="auto"/>
            </w:tcBorders>
            <w:shd w:val="clear" w:color="auto" w:fill="auto"/>
            <w:vAlign w:val="bottom"/>
            <w:hideMark/>
          </w:tcPr>
          <w:p w:rsidR="00F771A4" w:rsidRPr="0094467F" w:rsidRDefault="00F771A4" w:rsidP="006645E2">
            <w:pPr>
              <w:widowControl w:val="0"/>
              <w:jc w:val="right"/>
              <w:rPr>
                <w:color w:val="000000"/>
                <w:sz w:val="22"/>
                <w:szCs w:val="22"/>
              </w:rPr>
            </w:pPr>
            <w:r w:rsidRPr="0094467F">
              <w:rPr>
                <w:color w:val="000000"/>
                <w:sz w:val="22"/>
                <w:szCs w:val="22"/>
              </w:rPr>
              <w:t>745%</w:t>
            </w:r>
          </w:p>
        </w:tc>
        <w:tc>
          <w:tcPr>
            <w:tcW w:w="1080" w:type="dxa"/>
            <w:tcBorders>
              <w:top w:val="nil"/>
              <w:left w:val="nil"/>
              <w:bottom w:val="single" w:sz="4" w:space="0" w:color="auto"/>
              <w:right w:val="single" w:sz="4" w:space="0" w:color="auto"/>
            </w:tcBorders>
            <w:shd w:val="clear" w:color="auto" w:fill="auto"/>
            <w:vAlign w:val="bottom"/>
            <w:hideMark/>
          </w:tcPr>
          <w:p w:rsidR="00F771A4" w:rsidRPr="0094467F" w:rsidRDefault="00F771A4" w:rsidP="006645E2">
            <w:pPr>
              <w:widowControl w:val="0"/>
              <w:jc w:val="right"/>
              <w:rPr>
                <w:color w:val="000000"/>
                <w:sz w:val="22"/>
                <w:szCs w:val="22"/>
              </w:rPr>
            </w:pPr>
            <w:r w:rsidRPr="0094467F">
              <w:rPr>
                <w:color w:val="000000"/>
                <w:sz w:val="22"/>
                <w:szCs w:val="22"/>
              </w:rPr>
              <w:t>11%</w:t>
            </w:r>
          </w:p>
        </w:tc>
      </w:tr>
      <w:tr w:rsidR="00F771A4" w:rsidRPr="00AD151D" w:rsidTr="0094467F">
        <w:trPr>
          <w:trHeight w:val="300"/>
        </w:trPr>
        <w:tc>
          <w:tcPr>
            <w:tcW w:w="3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71A4" w:rsidRPr="00586B1F" w:rsidRDefault="00F771A4" w:rsidP="006645E2">
            <w:pPr>
              <w:widowControl w:val="0"/>
              <w:rPr>
                <w:b/>
                <w:color w:val="000000"/>
                <w:sz w:val="22"/>
                <w:szCs w:val="22"/>
              </w:rPr>
            </w:pPr>
            <w:r w:rsidRPr="00586B1F">
              <w:rPr>
                <w:b/>
                <w:color w:val="000000"/>
                <w:sz w:val="22"/>
                <w:szCs w:val="22"/>
              </w:rPr>
              <w:t>Total</w:t>
            </w:r>
          </w:p>
        </w:tc>
        <w:tc>
          <w:tcPr>
            <w:tcW w:w="1170" w:type="dxa"/>
            <w:tcBorders>
              <w:top w:val="nil"/>
              <w:left w:val="nil"/>
              <w:bottom w:val="single" w:sz="4" w:space="0" w:color="auto"/>
              <w:right w:val="single" w:sz="4" w:space="0" w:color="auto"/>
            </w:tcBorders>
            <w:shd w:val="clear" w:color="auto" w:fill="auto"/>
            <w:noWrap/>
            <w:vAlign w:val="bottom"/>
            <w:hideMark/>
          </w:tcPr>
          <w:p w:rsidR="00F771A4" w:rsidRPr="00586B1F" w:rsidRDefault="00F771A4" w:rsidP="006645E2">
            <w:pPr>
              <w:widowControl w:val="0"/>
              <w:jc w:val="right"/>
              <w:rPr>
                <w:b/>
                <w:color w:val="000000"/>
                <w:sz w:val="22"/>
                <w:szCs w:val="22"/>
              </w:rPr>
            </w:pPr>
            <w:r w:rsidRPr="00586B1F">
              <w:rPr>
                <w:b/>
                <w:color w:val="000000"/>
                <w:sz w:val="22"/>
                <w:szCs w:val="22"/>
              </w:rPr>
              <w:t>1279159</w:t>
            </w:r>
          </w:p>
        </w:tc>
        <w:tc>
          <w:tcPr>
            <w:tcW w:w="1260" w:type="dxa"/>
            <w:tcBorders>
              <w:top w:val="nil"/>
              <w:left w:val="nil"/>
              <w:bottom w:val="single" w:sz="4" w:space="0" w:color="auto"/>
              <w:right w:val="single" w:sz="4" w:space="0" w:color="auto"/>
            </w:tcBorders>
            <w:shd w:val="clear" w:color="auto" w:fill="auto"/>
            <w:noWrap/>
            <w:vAlign w:val="bottom"/>
            <w:hideMark/>
          </w:tcPr>
          <w:p w:rsidR="00F771A4" w:rsidRPr="00586B1F" w:rsidRDefault="00F771A4" w:rsidP="006645E2">
            <w:pPr>
              <w:widowControl w:val="0"/>
              <w:jc w:val="right"/>
              <w:rPr>
                <w:b/>
                <w:color w:val="000000"/>
                <w:sz w:val="22"/>
                <w:szCs w:val="22"/>
              </w:rPr>
            </w:pPr>
            <w:r w:rsidRPr="00586B1F">
              <w:rPr>
                <w:b/>
                <w:color w:val="000000"/>
                <w:sz w:val="22"/>
                <w:szCs w:val="22"/>
              </w:rPr>
              <w:t>1350908</w:t>
            </w:r>
          </w:p>
        </w:tc>
        <w:tc>
          <w:tcPr>
            <w:tcW w:w="990" w:type="dxa"/>
            <w:tcBorders>
              <w:top w:val="nil"/>
              <w:left w:val="nil"/>
              <w:bottom w:val="single" w:sz="4" w:space="0" w:color="auto"/>
              <w:right w:val="single" w:sz="4" w:space="0" w:color="auto"/>
            </w:tcBorders>
            <w:shd w:val="clear" w:color="auto" w:fill="auto"/>
            <w:vAlign w:val="bottom"/>
            <w:hideMark/>
          </w:tcPr>
          <w:p w:rsidR="00F771A4" w:rsidRPr="00586B1F" w:rsidRDefault="00F771A4" w:rsidP="006645E2">
            <w:pPr>
              <w:widowControl w:val="0"/>
              <w:jc w:val="right"/>
              <w:rPr>
                <w:b/>
                <w:color w:val="000000"/>
                <w:sz w:val="22"/>
                <w:szCs w:val="22"/>
              </w:rPr>
            </w:pPr>
            <w:r w:rsidRPr="00586B1F">
              <w:rPr>
                <w:b/>
                <w:color w:val="000000"/>
                <w:sz w:val="22"/>
                <w:szCs w:val="22"/>
              </w:rPr>
              <w:t>-5%</w:t>
            </w:r>
          </w:p>
        </w:tc>
        <w:tc>
          <w:tcPr>
            <w:tcW w:w="1080" w:type="dxa"/>
            <w:tcBorders>
              <w:top w:val="nil"/>
              <w:left w:val="nil"/>
              <w:bottom w:val="single" w:sz="4" w:space="0" w:color="auto"/>
              <w:right w:val="single" w:sz="4" w:space="0" w:color="auto"/>
            </w:tcBorders>
            <w:shd w:val="clear" w:color="auto" w:fill="auto"/>
            <w:vAlign w:val="bottom"/>
            <w:hideMark/>
          </w:tcPr>
          <w:p w:rsidR="00F771A4" w:rsidRPr="00586B1F" w:rsidRDefault="00F771A4" w:rsidP="006645E2">
            <w:pPr>
              <w:widowControl w:val="0"/>
              <w:jc w:val="right"/>
              <w:rPr>
                <w:b/>
                <w:color w:val="000000"/>
                <w:sz w:val="22"/>
                <w:szCs w:val="22"/>
              </w:rPr>
            </w:pPr>
            <w:r w:rsidRPr="00586B1F">
              <w:rPr>
                <w:b/>
                <w:color w:val="000000"/>
                <w:sz w:val="22"/>
                <w:szCs w:val="22"/>
              </w:rPr>
              <w:t>100%</w:t>
            </w:r>
          </w:p>
        </w:tc>
      </w:tr>
    </w:tbl>
    <w:p w:rsidR="00F771A4" w:rsidRPr="00AD151D" w:rsidRDefault="00F771A4" w:rsidP="006645E2">
      <w:pPr>
        <w:widowControl w:val="0"/>
        <w:rPr>
          <w:sz w:val="20"/>
          <w:szCs w:val="20"/>
        </w:rPr>
      </w:pPr>
      <w:r w:rsidRPr="00AD151D">
        <w:rPr>
          <w:sz w:val="20"/>
          <w:szCs w:val="20"/>
        </w:rPr>
        <w:t>Source: ExD reports posted to CAISO website</w:t>
      </w:r>
    </w:p>
    <w:p w:rsidR="00F7362A" w:rsidRDefault="0051629E" w:rsidP="00E657F3">
      <w:pPr>
        <w:widowControl w:val="0"/>
        <w:spacing w:before="120"/>
      </w:pPr>
      <w:r w:rsidRPr="00AD151D">
        <w:lastRenderedPageBreak/>
        <w:t xml:space="preserve">Although there was </w:t>
      </w:r>
      <w:r w:rsidR="00411CBB" w:rsidRPr="00AD151D">
        <w:t xml:space="preserve">slight </w:t>
      </w:r>
      <w:r w:rsidRPr="00AD151D">
        <w:t xml:space="preserve">overall decline in ExD </w:t>
      </w:r>
      <w:r w:rsidR="00C17159">
        <w:t xml:space="preserve">MW volumes </w:t>
      </w:r>
      <w:r w:rsidRPr="00AD151D">
        <w:t xml:space="preserve">between 2010 and 2011, certain reason categories saw </w:t>
      </w:r>
      <w:r w:rsidR="00F7362A">
        <w:t xml:space="preserve">significant </w:t>
      </w:r>
      <w:r w:rsidRPr="00AD151D">
        <w:t>increase</w:t>
      </w:r>
      <w:r w:rsidR="00C17159">
        <w:t>s</w:t>
      </w:r>
      <w:r w:rsidRPr="00AD151D">
        <w:t>.  In particular, the “Other” category</w:t>
      </w:r>
      <w:r w:rsidR="00C17159">
        <w:t xml:space="preserve"> increase was</w:t>
      </w:r>
      <w:r w:rsidRPr="00AD151D">
        <w:t xml:space="preserve"> driven by August, September</w:t>
      </w:r>
      <w:r w:rsidR="00B46BF4" w:rsidRPr="00AD151D">
        <w:t xml:space="preserve">, </w:t>
      </w:r>
      <w:r w:rsidRPr="00AD151D">
        <w:t xml:space="preserve">and October </w:t>
      </w:r>
      <w:r w:rsidR="00B46BF4" w:rsidRPr="00AD151D">
        <w:t xml:space="preserve">ExD related to </w:t>
      </w:r>
      <w:r w:rsidRPr="00AD151D">
        <w:t xml:space="preserve">“risk prediction” </w:t>
      </w:r>
      <w:r w:rsidR="00F7362A">
        <w:t xml:space="preserve">that </w:t>
      </w:r>
      <w:r w:rsidR="00C17159">
        <w:t>contribut</w:t>
      </w:r>
      <w:r w:rsidR="00F7362A">
        <w:t>ed</w:t>
      </w:r>
      <w:r w:rsidRPr="00AD151D">
        <w:t xml:space="preserve"> over 90,000 MWh </w:t>
      </w:r>
      <w:r w:rsidR="00F7362A">
        <w:t>to</w:t>
      </w:r>
      <w:r w:rsidR="00626007" w:rsidRPr="00AD151D">
        <w:t xml:space="preserve"> “Other”</w:t>
      </w:r>
      <w:r w:rsidRPr="00AD151D">
        <w:t xml:space="preserve">.  </w:t>
      </w:r>
    </w:p>
    <w:p w:rsidR="00AE7D50" w:rsidRPr="00AD151D" w:rsidRDefault="00411CBB" w:rsidP="00E657F3">
      <w:pPr>
        <w:widowControl w:val="0"/>
        <w:spacing w:before="120"/>
      </w:pPr>
      <w:r w:rsidRPr="00AD151D">
        <w:t xml:space="preserve">Software limitation and Dispatchability </w:t>
      </w:r>
      <w:r w:rsidR="00F7362A">
        <w:t>ExDs are</w:t>
      </w:r>
      <w:r w:rsidRPr="00AD151D">
        <w:t xml:space="preserve"> </w:t>
      </w:r>
      <w:r w:rsidR="00B414BC">
        <w:t>supplanting</w:t>
      </w:r>
      <w:r w:rsidR="00F7362A" w:rsidRPr="00AD151D">
        <w:t xml:space="preserve"> </w:t>
      </w:r>
      <w:r w:rsidRPr="00AD151D">
        <w:t xml:space="preserve">general system reliability as </w:t>
      </w:r>
      <w:r w:rsidR="00F7362A">
        <w:t xml:space="preserve">the main </w:t>
      </w:r>
      <w:r w:rsidR="00626007" w:rsidRPr="00AD151D">
        <w:t>r</w:t>
      </w:r>
      <w:r w:rsidRPr="00AD151D">
        <w:t>eason</w:t>
      </w:r>
      <w:r w:rsidR="00F7362A">
        <w:t>s</w:t>
      </w:r>
      <w:r w:rsidRPr="00AD151D">
        <w:t xml:space="preserve"> </w:t>
      </w:r>
      <w:r w:rsidR="00F7362A">
        <w:t>for resorting to</w:t>
      </w:r>
      <w:r w:rsidRPr="00AD151D">
        <w:t xml:space="preserve"> ExD.  </w:t>
      </w:r>
      <w:r w:rsidR="00AE7D50" w:rsidRPr="00AD151D">
        <w:t xml:space="preserve">CAISO market performance </w:t>
      </w:r>
      <w:r w:rsidR="00F7362A">
        <w:t xml:space="preserve">reports </w:t>
      </w:r>
      <w:r w:rsidR="00AE7D50" w:rsidRPr="00AD151D">
        <w:t xml:space="preserve">give more detail on the </w:t>
      </w:r>
      <w:r w:rsidR="00F7362A">
        <w:t xml:space="preserve">CAISO </w:t>
      </w:r>
      <w:r w:rsidR="00AE7D50" w:rsidRPr="00AD151D">
        <w:t xml:space="preserve">efforts to improve </w:t>
      </w:r>
      <w:r w:rsidR="003A0DD6" w:rsidRPr="00AD151D">
        <w:t xml:space="preserve">and to limit ExD but </w:t>
      </w:r>
      <w:r w:rsidR="00F7362A">
        <w:t xml:space="preserve">it appears </w:t>
      </w:r>
      <w:r w:rsidR="003A0DD6" w:rsidRPr="00AD151D">
        <w:t xml:space="preserve">significant issues remain.  </w:t>
      </w:r>
    </w:p>
    <w:p w:rsidR="00AE7D50" w:rsidRPr="00277DC8" w:rsidRDefault="00AE7D50">
      <w:pPr>
        <w:pStyle w:val="Heading2"/>
        <w:numPr>
          <w:ilvl w:val="1"/>
          <w:numId w:val="18"/>
        </w:numPr>
        <w:spacing w:before="120"/>
        <w:rPr>
          <w:i w:val="0"/>
        </w:rPr>
      </w:pPr>
      <w:bookmarkStart w:id="111" w:name="_Toc347827059"/>
      <w:r w:rsidRPr="00277DC8">
        <w:rPr>
          <w:i w:val="0"/>
        </w:rPr>
        <w:t>Reliability Must Run Designations</w:t>
      </w:r>
      <w:bookmarkEnd w:id="97"/>
      <w:bookmarkEnd w:id="98"/>
      <w:bookmarkEnd w:id="99"/>
      <w:bookmarkEnd w:id="100"/>
      <w:bookmarkEnd w:id="111"/>
      <w:r w:rsidRPr="00277DC8">
        <w:rPr>
          <w:i w:val="0"/>
        </w:rPr>
        <w:tab/>
      </w:r>
    </w:p>
    <w:p w:rsidR="00BB2D00" w:rsidRDefault="00AE7D50">
      <w:pPr>
        <w:spacing w:before="120"/>
        <w:ind w:firstLine="720"/>
      </w:pPr>
      <w:r w:rsidRPr="00AD151D">
        <w:t>Generating resources with existing RMR contracts must be redesignated by the CAISO for the next compliance year and presented to the CAISO Board of Governors for approval by October 1</w:t>
      </w:r>
      <w:r w:rsidRPr="00AD151D">
        <w:rPr>
          <w:vertAlign w:val="superscript"/>
        </w:rPr>
        <w:t>st</w:t>
      </w:r>
      <w:r w:rsidRPr="00AD151D">
        <w:t xml:space="preserve"> of each year. Designations for new RMR contracts are more flexible, and may arise during the relevant compliance year.  RMR resources are placed into two classes: Condition 1 contracts are allowed to operate in the energy market even if not dispatched by the CAISO for reliability purposes, and Condition 2 units are generally not allowed to operate in the energy market but are under the full dispatch of the CAISO for reliability purposes.  Both types of RMR contracts are paid for by all customers in the transmission area. </w:t>
      </w:r>
    </w:p>
    <w:p w:rsidR="00AE7D50" w:rsidRPr="00AD151D" w:rsidRDefault="00AE7D50">
      <w:pPr>
        <w:spacing w:before="120"/>
        <w:ind w:firstLine="720"/>
      </w:pPr>
      <w:r w:rsidRPr="00AD151D">
        <w:t>Condition 1 units are able to competitively earn revenue in the energy market in addition to the capacity payments under the RMR Agreement.</w:t>
      </w:r>
      <w:r w:rsidR="00BB2D00">
        <w:t xml:space="preserve">  </w:t>
      </w:r>
      <w:r w:rsidRPr="00AD151D">
        <w:t xml:space="preserve">In D.06-06-064 the CPUC ordered that capacity from Condition 1 RMR contracts to be allocated to LSEs to count </w:t>
      </w:r>
      <w:r w:rsidRPr="00AD151D">
        <w:rPr>
          <w:iCs/>
        </w:rPr>
        <w:t>only</w:t>
      </w:r>
      <w:r w:rsidRPr="00AD151D">
        <w:rPr>
          <w:i/>
        </w:rPr>
        <w:t xml:space="preserve"> </w:t>
      </w:r>
      <w:r w:rsidRPr="00AD151D">
        <w:t>towards the LSEs</w:t>
      </w:r>
      <w:r w:rsidR="004D53AC">
        <w:t>’</w:t>
      </w:r>
      <w:r w:rsidRPr="00AD151D">
        <w:t xml:space="preserve"> Local RA obligation, while Condition 2 RMR units may be counted towards both the System and Local RAR obligations.  Because they are able to participate in the market, Condition 1 units are allowed to sell their System RA credit to a third party, typically through a “wrap around” contract.  RMR units with RA contracts that set the fixed cost recovery via the RMR contract to $0 are not allocated to LSEs and are able to count towards the RAR of the LSE that has entered into wraparound RA contracts with them.  </w:t>
      </w:r>
    </w:p>
    <w:p w:rsidR="003878E0" w:rsidRDefault="00AE7D50">
      <w:pPr>
        <w:spacing w:before="120"/>
        <w:ind w:firstLine="720"/>
      </w:pPr>
      <w:r w:rsidRPr="00AD151D">
        <w:t>Pursuant to the stated policy preference of the Commission,</w:t>
      </w:r>
      <w:r w:rsidRPr="00AD151D">
        <w:rPr>
          <w:rStyle w:val="FootnoteReference"/>
        </w:rPr>
        <w:footnoteReference w:id="31"/>
      </w:r>
      <w:r w:rsidRPr="00AD151D">
        <w:t xml:space="preserve"> Local RA began to supplant RMR contracting for the 2007 compliance year and a significant decline was seen in 2007 RMR designations.  That trend continued through to the 2011 compliance year, where now there is only one remaining RMR contract with the Oakland Power Plant.  </w:t>
      </w:r>
      <w:r w:rsidR="00F27FC0" w:rsidRPr="00AD151D">
        <w:fldChar w:fldCharType="begin"/>
      </w:r>
      <w:r w:rsidR="00F27FC0" w:rsidRPr="00AD151D">
        <w:instrText xml:space="preserve"> REF _Ref224718007 \h  \* MERGEFORMAT </w:instrText>
      </w:r>
      <w:r w:rsidR="00F27FC0" w:rsidRPr="00AD151D">
        <w:fldChar w:fldCharType="separate"/>
      </w:r>
      <w:r w:rsidR="00B3535E" w:rsidRPr="00B3535E">
        <w:t xml:space="preserve">Table </w:t>
      </w:r>
      <w:r w:rsidR="00B3535E" w:rsidRPr="00B3535E">
        <w:rPr>
          <w:noProof/>
        </w:rPr>
        <w:t>14</w:t>
      </w:r>
      <w:r w:rsidR="00F27FC0" w:rsidRPr="00AD151D">
        <w:fldChar w:fldCharType="end"/>
      </w:r>
      <w:r w:rsidRPr="00AD151D">
        <w:rPr>
          <w:b/>
          <w:bCs/>
        </w:rPr>
        <w:t xml:space="preserve"> </w:t>
      </w:r>
      <w:r w:rsidRPr="00AD151D">
        <w:t>provides a summary of the CAISO’s 200</w:t>
      </w:r>
      <w:r w:rsidR="00F12A8E" w:rsidRPr="00AD151D">
        <w:t>9, 2010, and 2011</w:t>
      </w:r>
      <w:r w:rsidRPr="00AD151D">
        <w:t xml:space="preserve"> RMR designations</w:t>
      </w:r>
      <w:r w:rsidR="003878E0">
        <w:t xml:space="preserve"> and </w:t>
      </w:r>
      <w:r w:rsidR="006E392C">
        <w:t>y</w:t>
      </w:r>
      <w:r w:rsidR="003878E0">
        <w:t>ear</w:t>
      </w:r>
      <w:r w:rsidR="00630FCA">
        <w:t>-</w:t>
      </w:r>
      <w:r w:rsidR="006E392C">
        <w:t>o</w:t>
      </w:r>
      <w:r w:rsidR="003878E0">
        <w:t>ver</w:t>
      </w:r>
      <w:r w:rsidR="00630FCA">
        <w:t>-</w:t>
      </w:r>
      <w:r w:rsidR="006E392C">
        <w:t>y</w:t>
      </w:r>
      <w:r w:rsidR="003878E0">
        <w:t>ear decrease.</w:t>
      </w:r>
      <w:r w:rsidRPr="00AD151D">
        <w:t xml:space="preserve">  </w:t>
      </w:r>
    </w:p>
    <w:p w:rsidR="00AE7D50" w:rsidRPr="00AD151D" w:rsidRDefault="00AE7D50">
      <w:pPr>
        <w:spacing w:before="120"/>
        <w:ind w:firstLine="720"/>
      </w:pPr>
      <w:r w:rsidRPr="00AD151D">
        <w:t>Continuing that trend, units released from RMR contracts before or shortly into 2011 compliance year include:</w:t>
      </w:r>
    </w:p>
    <w:p w:rsidR="00AE7D50" w:rsidRPr="00AD151D" w:rsidRDefault="00AE7D50">
      <w:pPr>
        <w:numPr>
          <w:ilvl w:val="0"/>
          <w:numId w:val="33"/>
        </w:numPr>
      </w:pPr>
      <w:r w:rsidRPr="00AD151D">
        <w:t>The remaining South Bay Power Plant units</w:t>
      </w:r>
    </w:p>
    <w:p w:rsidR="00AE7D50" w:rsidRPr="00AD151D" w:rsidRDefault="00AE7D50">
      <w:pPr>
        <w:numPr>
          <w:ilvl w:val="0"/>
          <w:numId w:val="33"/>
        </w:numPr>
      </w:pPr>
      <w:r w:rsidRPr="00AD151D">
        <w:t>The entire Potrero Power Plant</w:t>
      </w:r>
    </w:p>
    <w:p w:rsidR="00AE7D50" w:rsidRPr="00AD151D" w:rsidRDefault="00AE7D50">
      <w:pPr>
        <w:numPr>
          <w:ilvl w:val="0"/>
          <w:numId w:val="33"/>
        </w:numPr>
      </w:pPr>
      <w:r w:rsidRPr="00AD151D">
        <w:t>Gilroy Energy Center units 1 and 2, Yuba City Energy Center, and Feather River Energy Center</w:t>
      </w:r>
    </w:p>
    <w:p w:rsidR="00AE7D50" w:rsidRPr="00AD151D" w:rsidRDefault="00AE7D50">
      <w:pPr>
        <w:tabs>
          <w:tab w:val="left" w:pos="3960"/>
        </w:tabs>
        <w:spacing w:before="120"/>
        <w:ind w:firstLine="720"/>
      </w:pPr>
    </w:p>
    <w:p w:rsidR="00AE7D50" w:rsidRPr="00AD151D" w:rsidRDefault="00AE7D50" w:rsidP="006645E2">
      <w:pPr>
        <w:pStyle w:val="Caption"/>
        <w:widowControl w:val="0"/>
        <w:tabs>
          <w:tab w:val="left" w:pos="3960"/>
        </w:tabs>
        <w:spacing w:before="120"/>
        <w:rPr>
          <w:sz w:val="22"/>
          <w:szCs w:val="22"/>
        </w:rPr>
      </w:pPr>
      <w:bookmarkStart w:id="112" w:name="_Ref224718007"/>
      <w:bookmarkStart w:id="113" w:name="_Toc258573801"/>
      <w:bookmarkStart w:id="114" w:name="_Toc347827084"/>
      <w:r w:rsidRPr="00AD151D">
        <w:rPr>
          <w:sz w:val="22"/>
          <w:szCs w:val="22"/>
        </w:rPr>
        <w:lastRenderedPageBreak/>
        <w:t xml:space="preserve">Table </w:t>
      </w:r>
      <w:r w:rsidRPr="00AD151D">
        <w:rPr>
          <w:sz w:val="22"/>
          <w:szCs w:val="22"/>
        </w:rPr>
        <w:fldChar w:fldCharType="begin"/>
      </w:r>
      <w:r w:rsidRPr="00AD151D">
        <w:rPr>
          <w:sz w:val="22"/>
          <w:szCs w:val="22"/>
        </w:rPr>
        <w:instrText xml:space="preserve"> SEQ Table \* ARABIC </w:instrText>
      </w:r>
      <w:r w:rsidRPr="00AD151D">
        <w:rPr>
          <w:sz w:val="22"/>
          <w:szCs w:val="22"/>
        </w:rPr>
        <w:fldChar w:fldCharType="separate"/>
      </w:r>
      <w:r w:rsidR="00B3535E">
        <w:rPr>
          <w:noProof/>
          <w:sz w:val="22"/>
          <w:szCs w:val="22"/>
        </w:rPr>
        <w:t>14</w:t>
      </w:r>
      <w:r w:rsidRPr="00AD151D">
        <w:rPr>
          <w:sz w:val="22"/>
          <w:szCs w:val="22"/>
        </w:rPr>
        <w:fldChar w:fldCharType="end"/>
      </w:r>
      <w:bookmarkEnd w:id="112"/>
      <w:r w:rsidRPr="00AD151D">
        <w:rPr>
          <w:sz w:val="22"/>
          <w:szCs w:val="22"/>
        </w:rPr>
        <w:t>. RMR designations and RMR allocations for 2008-2011</w:t>
      </w:r>
      <w:bookmarkEnd w:id="113"/>
      <w:bookmarkEnd w:id="114"/>
    </w:p>
    <w:tbl>
      <w:tblPr>
        <w:tblW w:w="8671" w:type="dxa"/>
        <w:tblInd w:w="98" w:type="dxa"/>
        <w:tblLook w:val="0000" w:firstRow="0" w:lastRow="0" w:firstColumn="0" w:lastColumn="0" w:noHBand="0" w:noVBand="0"/>
      </w:tblPr>
      <w:tblGrid>
        <w:gridCol w:w="681"/>
        <w:gridCol w:w="4549"/>
        <w:gridCol w:w="852"/>
        <w:gridCol w:w="644"/>
        <w:gridCol w:w="999"/>
        <w:gridCol w:w="946"/>
      </w:tblGrid>
      <w:tr w:rsidR="00AE7D50" w:rsidRPr="00AD151D" w:rsidTr="006F7ADC">
        <w:trPr>
          <w:trHeight w:val="375"/>
        </w:trPr>
        <w:tc>
          <w:tcPr>
            <w:tcW w:w="681" w:type="dxa"/>
            <w:tcBorders>
              <w:top w:val="single" w:sz="8" w:space="0" w:color="auto"/>
              <w:left w:val="single" w:sz="8" w:space="0" w:color="auto"/>
              <w:bottom w:val="single" w:sz="8" w:space="0" w:color="auto"/>
              <w:right w:val="single" w:sz="8" w:space="0" w:color="auto"/>
            </w:tcBorders>
            <w:vAlign w:val="center"/>
          </w:tcPr>
          <w:p w:rsidR="00AE7D50" w:rsidRPr="00AD151D" w:rsidRDefault="00AE7D50" w:rsidP="006645E2">
            <w:pPr>
              <w:widowControl w:val="0"/>
              <w:tabs>
                <w:tab w:val="left" w:pos="3960"/>
              </w:tabs>
              <w:rPr>
                <w:b/>
                <w:bCs/>
              </w:rPr>
            </w:pPr>
            <w:r w:rsidRPr="00AD151D">
              <w:rPr>
                <w:b/>
                <w:bCs/>
                <w:sz w:val="22"/>
                <w:szCs w:val="22"/>
              </w:rPr>
              <w:t>Year</w:t>
            </w:r>
          </w:p>
        </w:tc>
        <w:tc>
          <w:tcPr>
            <w:tcW w:w="4549" w:type="dxa"/>
            <w:tcBorders>
              <w:top w:val="single" w:sz="8" w:space="0" w:color="auto"/>
              <w:left w:val="nil"/>
              <w:bottom w:val="single" w:sz="8" w:space="0" w:color="auto"/>
              <w:right w:val="single" w:sz="8" w:space="0" w:color="auto"/>
            </w:tcBorders>
            <w:noWrap/>
            <w:vAlign w:val="center"/>
          </w:tcPr>
          <w:p w:rsidR="00AE7D50" w:rsidRPr="00AD151D" w:rsidRDefault="00AE7D50" w:rsidP="006645E2">
            <w:pPr>
              <w:widowControl w:val="0"/>
              <w:tabs>
                <w:tab w:val="left" w:pos="3960"/>
              </w:tabs>
              <w:rPr>
                <w:b/>
                <w:bCs/>
              </w:rPr>
            </w:pPr>
            <w:r w:rsidRPr="00AD151D">
              <w:rPr>
                <w:b/>
                <w:bCs/>
                <w:sz w:val="22"/>
                <w:szCs w:val="22"/>
              </w:rPr>
              <w:t> </w:t>
            </w:r>
          </w:p>
        </w:tc>
        <w:tc>
          <w:tcPr>
            <w:tcW w:w="852" w:type="dxa"/>
            <w:tcBorders>
              <w:top w:val="single" w:sz="8" w:space="0" w:color="auto"/>
              <w:left w:val="nil"/>
              <w:bottom w:val="single" w:sz="8" w:space="0" w:color="auto"/>
              <w:right w:val="single" w:sz="8" w:space="0" w:color="auto"/>
            </w:tcBorders>
            <w:noWrap/>
            <w:vAlign w:val="center"/>
          </w:tcPr>
          <w:p w:rsidR="00AE7D50" w:rsidRPr="00AD151D" w:rsidRDefault="00AE7D50" w:rsidP="006645E2">
            <w:pPr>
              <w:widowControl w:val="0"/>
              <w:tabs>
                <w:tab w:val="left" w:pos="3960"/>
              </w:tabs>
              <w:rPr>
                <w:b/>
                <w:bCs/>
              </w:rPr>
            </w:pPr>
            <w:r w:rsidRPr="00AD151D">
              <w:rPr>
                <w:b/>
                <w:bCs/>
                <w:sz w:val="22"/>
                <w:szCs w:val="22"/>
              </w:rPr>
              <w:t>PG&amp;E</w:t>
            </w:r>
          </w:p>
        </w:tc>
        <w:tc>
          <w:tcPr>
            <w:tcW w:w="644" w:type="dxa"/>
            <w:tcBorders>
              <w:top w:val="single" w:sz="8" w:space="0" w:color="auto"/>
              <w:left w:val="nil"/>
              <w:bottom w:val="single" w:sz="8" w:space="0" w:color="auto"/>
              <w:right w:val="single" w:sz="8" w:space="0" w:color="auto"/>
            </w:tcBorders>
            <w:noWrap/>
            <w:vAlign w:val="center"/>
          </w:tcPr>
          <w:p w:rsidR="00AE7D50" w:rsidRPr="00AD151D" w:rsidRDefault="00AE7D50" w:rsidP="006645E2">
            <w:pPr>
              <w:widowControl w:val="0"/>
              <w:tabs>
                <w:tab w:val="left" w:pos="3960"/>
              </w:tabs>
              <w:rPr>
                <w:b/>
                <w:bCs/>
              </w:rPr>
            </w:pPr>
            <w:r w:rsidRPr="00AD151D">
              <w:rPr>
                <w:b/>
                <w:bCs/>
                <w:sz w:val="22"/>
                <w:szCs w:val="22"/>
              </w:rPr>
              <w:t>SCE</w:t>
            </w:r>
          </w:p>
        </w:tc>
        <w:tc>
          <w:tcPr>
            <w:tcW w:w="999" w:type="dxa"/>
            <w:tcBorders>
              <w:top w:val="single" w:sz="8" w:space="0" w:color="auto"/>
              <w:left w:val="nil"/>
              <w:bottom w:val="single" w:sz="8" w:space="0" w:color="auto"/>
              <w:right w:val="single" w:sz="8" w:space="0" w:color="auto"/>
            </w:tcBorders>
            <w:noWrap/>
            <w:vAlign w:val="center"/>
          </w:tcPr>
          <w:p w:rsidR="00AE7D50" w:rsidRPr="00AD151D" w:rsidRDefault="00AE7D50" w:rsidP="006645E2">
            <w:pPr>
              <w:widowControl w:val="0"/>
              <w:tabs>
                <w:tab w:val="left" w:pos="3960"/>
              </w:tabs>
              <w:rPr>
                <w:b/>
                <w:bCs/>
              </w:rPr>
            </w:pPr>
            <w:r w:rsidRPr="00AD151D">
              <w:rPr>
                <w:b/>
                <w:bCs/>
                <w:sz w:val="22"/>
                <w:szCs w:val="22"/>
              </w:rPr>
              <w:t>SDG&amp;E</w:t>
            </w:r>
          </w:p>
        </w:tc>
        <w:tc>
          <w:tcPr>
            <w:tcW w:w="946" w:type="dxa"/>
            <w:tcBorders>
              <w:top w:val="single" w:sz="8" w:space="0" w:color="auto"/>
              <w:left w:val="nil"/>
              <w:bottom w:val="single" w:sz="8" w:space="0" w:color="auto"/>
              <w:right w:val="single" w:sz="8" w:space="0" w:color="auto"/>
            </w:tcBorders>
            <w:noWrap/>
            <w:vAlign w:val="center"/>
          </w:tcPr>
          <w:p w:rsidR="00AE7D50" w:rsidRPr="00AD151D" w:rsidRDefault="00AE7D50" w:rsidP="006645E2">
            <w:pPr>
              <w:widowControl w:val="0"/>
              <w:tabs>
                <w:tab w:val="left" w:pos="3960"/>
              </w:tabs>
              <w:rPr>
                <w:b/>
                <w:bCs/>
              </w:rPr>
            </w:pPr>
            <w:r w:rsidRPr="00AD151D">
              <w:rPr>
                <w:b/>
                <w:bCs/>
                <w:sz w:val="22"/>
                <w:szCs w:val="22"/>
              </w:rPr>
              <w:t>Total</w:t>
            </w:r>
          </w:p>
        </w:tc>
      </w:tr>
      <w:tr w:rsidR="00AE7D50" w:rsidRPr="00AD151D" w:rsidTr="006F7ADC">
        <w:trPr>
          <w:trHeight w:val="375"/>
        </w:trPr>
        <w:tc>
          <w:tcPr>
            <w:tcW w:w="681" w:type="dxa"/>
            <w:vMerge w:val="restart"/>
            <w:tcBorders>
              <w:top w:val="nil"/>
              <w:left w:val="single" w:sz="8" w:space="0" w:color="auto"/>
              <w:bottom w:val="single" w:sz="8" w:space="0" w:color="000000"/>
              <w:right w:val="single" w:sz="8" w:space="0" w:color="auto"/>
            </w:tcBorders>
            <w:vAlign w:val="center"/>
          </w:tcPr>
          <w:p w:rsidR="00AE7D50" w:rsidRPr="00AD151D" w:rsidRDefault="00AE7D50" w:rsidP="006645E2">
            <w:pPr>
              <w:widowControl w:val="0"/>
              <w:tabs>
                <w:tab w:val="left" w:pos="3960"/>
              </w:tabs>
              <w:rPr>
                <w:b/>
                <w:bCs/>
              </w:rPr>
            </w:pPr>
            <w:r w:rsidRPr="00AD151D">
              <w:rPr>
                <w:b/>
                <w:bCs/>
                <w:sz w:val="22"/>
                <w:szCs w:val="22"/>
              </w:rPr>
              <w:t>2009</w:t>
            </w:r>
          </w:p>
        </w:tc>
        <w:tc>
          <w:tcPr>
            <w:tcW w:w="4549" w:type="dxa"/>
            <w:tcBorders>
              <w:top w:val="nil"/>
              <w:left w:val="nil"/>
              <w:bottom w:val="single" w:sz="8" w:space="0" w:color="auto"/>
              <w:right w:val="single" w:sz="8" w:space="0" w:color="auto"/>
            </w:tcBorders>
            <w:noWrap/>
            <w:vAlign w:val="center"/>
          </w:tcPr>
          <w:p w:rsidR="00AE7D50" w:rsidRPr="00B07EDA" w:rsidRDefault="003878E0" w:rsidP="006645E2">
            <w:pPr>
              <w:widowControl w:val="0"/>
              <w:tabs>
                <w:tab w:val="left" w:pos="3960"/>
              </w:tabs>
              <w:rPr>
                <w:bCs/>
              </w:rPr>
            </w:pPr>
            <w:r w:rsidRPr="00B07EDA">
              <w:rPr>
                <w:bCs/>
                <w:sz w:val="22"/>
                <w:szCs w:val="22"/>
              </w:rPr>
              <w:t>Approved by</w:t>
            </w:r>
            <w:r w:rsidR="00AE7D50" w:rsidRPr="00B07EDA">
              <w:rPr>
                <w:bCs/>
                <w:sz w:val="22"/>
                <w:szCs w:val="22"/>
              </w:rPr>
              <w:t xml:space="preserve"> CAISO Board of Governors</w:t>
            </w:r>
          </w:p>
        </w:tc>
        <w:tc>
          <w:tcPr>
            <w:tcW w:w="852" w:type="dxa"/>
            <w:tcBorders>
              <w:top w:val="nil"/>
              <w:left w:val="nil"/>
              <w:bottom w:val="single" w:sz="8" w:space="0" w:color="auto"/>
              <w:right w:val="single" w:sz="8" w:space="0" w:color="auto"/>
            </w:tcBorders>
            <w:vAlign w:val="center"/>
          </w:tcPr>
          <w:p w:rsidR="00AE7D50" w:rsidRPr="00AD151D" w:rsidRDefault="00AE7D50" w:rsidP="006645E2">
            <w:pPr>
              <w:widowControl w:val="0"/>
              <w:tabs>
                <w:tab w:val="left" w:pos="3960"/>
              </w:tabs>
            </w:pPr>
            <w:r w:rsidRPr="00AD151D">
              <w:rPr>
                <w:sz w:val="22"/>
                <w:szCs w:val="22"/>
              </w:rPr>
              <w:t>1,263</w:t>
            </w:r>
          </w:p>
        </w:tc>
        <w:tc>
          <w:tcPr>
            <w:tcW w:w="644" w:type="dxa"/>
            <w:tcBorders>
              <w:top w:val="nil"/>
              <w:left w:val="nil"/>
              <w:bottom w:val="single" w:sz="8" w:space="0" w:color="auto"/>
              <w:right w:val="single" w:sz="8" w:space="0" w:color="auto"/>
            </w:tcBorders>
            <w:vAlign w:val="center"/>
          </w:tcPr>
          <w:p w:rsidR="00AE7D50" w:rsidRPr="00AD151D" w:rsidRDefault="00AE7D50" w:rsidP="006645E2">
            <w:pPr>
              <w:widowControl w:val="0"/>
              <w:tabs>
                <w:tab w:val="left" w:pos="3960"/>
              </w:tabs>
            </w:pPr>
            <w:r w:rsidRPr="00AD151D">
              <w:rPr>
                <w:sz w:val="22"/>
                <w:szCs w:val="22"/>
              </w:rPr>
              <w:t>0</w:t>
            </w:r>
          </w:p>
        </w:tc>
        <w:tc>
          <w:tcPr>
            <w:tcW w:w="999" w:type="dxa"/>
            <w:tcBorders>
              <w:top w:val="nil"/>
              <w:left w:val="nil"/>
              <w:bottom w:val="single" w:sz="8" w:space="0" w:color="auto"/>
              <w:right w:val="single" w:sz="8" w:space="0" w:color="auto"/>
            </w:tcBorders>
            <w:vAlign w:val="center"/>
          </w:tcPr>
          <w:p w:rsidR="00AE7D50" w:rsidRPr="00AD151D" w:rsidRDefault="00AE7D50" w:rsidP="006645E2">
            <w:pPr>
              <w:widowControl w:val="0"/>
              <w:tabs>
                <w:tab w:val="left" w:pos="3960"/>
              </w:tabs>
            </w:pPr>
            <w:r w:rsidRPr="00AD151D">
              <w:rPr>
                <w:sz w:val="22"/>
                <w:szCs w:val="22"/>
              </w:rPr>
              <w:t>979</w:t>
            </w:r>
          </w:p>
        </w:tc>
        <w:tc>
          <w:tcPr>
            <w:tcW w:w="946" w:type="dxa"/>
            <w:tcBorders>
              <w:top w:val="nil"/>
              <w:left w:val="nil"/>
              <w:bottom w:val="single" w:sz="8" w:space="0" w:color="auto"/>
              <w:right w:val="single" w:sz="8" w:space="0" w:color="auto"/>
            </w:tcBorders>
            <w:noWrap/>
            <w:vAlign w:val="center"/>
          </w:tcPr>
          <w:p w:rsidR="00AE7D50" w:rsidRPr="00AD151D" w:rsidRDefault="00AE7D50" w:rsidP="00B07EDA">
            <w:pPr>
              <w:widowControl w:val="0"/>
              <w:tabs>
                <w:tab w:val="left" w:pos="3960"/>
              </w:tabs>
              <w:jc w:val="right"/>
              <w:rPr>
                <w:b/>
                <w:bCs/>
              </w:rPr>
            </w:pPr>
            <w:r w:rsidRPr="00AD151D">
              <w:rPr>
                <w:b/>
                <w:bCs/>
                <w:sz w:val="22"/>
                <w:szCs w:val="22"/>
              </w:rPr>
              <w:t>2,242</w:t>
            </w:r>
          </w:p>
        </w:tc>
      </w:tr>
      <w:tr w:rsidR="00AE7D50" w:rsidRPr="00AD151D" w:rsidTr="006F7ADC">
        <w:trPr>
          <w:trHeight w:val="375"/>
        </w:trPr>
        <w:tc>
          <w:tcPr>
            <w:tcW w:w="681" w:type="dxa"/>
            <w:vMerge/>
            <w:tcBorders>
              <w:top w:val="nil"/>
              <w:left w:val="single" w:sz="8" w:space="0" w:color="auto"/>
              <w:bottom w:val="single" w:sz="8" w:space="0" w:color="000000"/>
              <w:right w:val="single" w:sz="8" w:space="0" w:color="auto"/>
            </w:tcBorders>
            <w:vAlign w:val="center"/>
          </w:tcPr>
          <w:p w:rsidR="00AE7D50" w:rsidRPr="00AD151D" w:rsidRDefault="00AE7D50" w:rsidP="00B07EDA">
            <w:pPr>
              <w:widowControl w:val="0"/>
              <w:tabs>
                <w:tab w:val="left" w:pos="3960"/>
              </w:tabs>
              <w:rPr>
                <w:b/>
                <w:bCs/>
              </w:rPr>
            </w:pPr>
          </w:p>
        </w:tc>
        <w:tc>
          <w:tcPr>
            <w:tcW w:w="4549" w:type="dxa"/>
            <w:tcBorders>
              <w:top w:val="nil"/>
              <w:left w:val="nil"/>
              <w:bottom w:val="single" w:sz="8" w:space="0" w:color="auto"/>
              <w:right w:val="single" w:sz="8" w:space="0" w:color="auto"/>
            </w:tcBorders>
            <w:noWrap/>
            <w:vAlign w:val="center"/>
          </w:tcPr>
          <w:p w:rsidR="00AE7D50" w:rsidRPr="00B07EDA" w:rsidRDefault="00AE7D50" w:rsidP="00586B1F">
            <w:pPr>
              <w:widowControl w:val="0"/>
              <w:tabs>
                <w:tab w:val="left" w:pos="3960"/>
              </w:tabs>
              <w:rPr>
                <w:bCs/>
              </w:rPr>
            </w:pPr>
            <w:r w:rsidRPr="00B07EDA">
              <w:rPr>
                <w:bCs/>
                <w:sz w:val="22"/>
                <w:szCs w:val="22"/>
              </w:rPr>
              <w:t xml:space="preserve">Local RMR </w:t>
            </w:r>
            <w:r w:rsidR="00586B1F">
              <w:rPr>
                <w:bCs/>
                <w:sz w:val="22"/>
                <w:szCs w:val="22"/>
              </w:rPr>
              <w:t>A</w:t>
            </w:r>
            <w:r w:rsidRPr="00B07EDA">
              <w:rPr>
                <w:bCs/>
                <w:sz w:val="22"/>
                <w:szCs w:val="22"/>
              </w:rPr>
              <w:t>llocations</w:t>
            </w:r>
            <w:r w:rsidR="00586B1F">
              <w:rPr>
                <w:bCs/>
                <w:sz w:val="22"/>
                <w:szCs w:val="22"/>
              </w:rPr>
              <w:t xml:space="preserve"> Executed</w:t>
            </w:r>
          </w:p>
        </w:tc>
        <w:tc>
          <w:tcPr>
            <w:tcW w:w="852" w:type="dxa"/>
            <w:tcBorders>
              <w:top w:val="nil"/>
              <w:left w:val="nil"/>
              <w:bottom w:val="single" w:sz="8" w:space="0" w:color="auto"/>
              <w:right w:val="single" w:sz="8" w:space="0" w:color="auto"/>
            </w:tcBorders>
            <w:noWrap/>
            <w:vAlign w:val="center"/>
          </w:tcPr>
          <w:p w:rsidR="00AE7D50" w:rsidRPr="00AD151D" w:rsidRDefault="00AE7D50" w:rsidP="00B07EDA">
            <w:pPr>
              <w:widowControl w:val="0"/>
              <w:tabs>
                <w:tab w:val="left" w:pos="3960"/>
              </w:tabs>
            </w:pPr>
            <w:r w:rsidRPr="00AD151D">
              <w:rPr>
                <w:sz w:val="22"/>
                <w:szCs w:val="22"/>
              </w:rPr>
              <w:t>709</w:t>
            </w:r>
          </w:p>
        </w:tc>
        <w:tc>
          <w:tcPr>
            <w:tcW w:w="644" w:type="dxa"/>
            <w:tcBorders>
              <w:top w:val="nil"/>
              <w:left w:val="nil"/>
              <w:bottom w:val="single" w:sz="8" w:space="0" w:color="auto"/>
              <w:right w:val="single" w:sz="8" w:space="0" w:color="auto"/>
            </w:tcBorders>
            <w:noWrap/>
            <w:vAlign w:val="center"/>
          </w:tcPr>
          <w:p w:rsidR="00AE7D50" w:rsidRPr="00AD151D" w:rsidRDefault="00AE7D50" w:rsidP="00B07EDA">
            <w:pPr>
              <w:widowControl w:val="0"/>
              <w:tabs>
                <w:tab w:val="left" w:pos="3960"/>
              </w:tabs>
            </w:pPr>
            <w:r w:rsidRPr="00AD151D">
              <w:rPr>
                <w:sz w:val="22"/>
                <w:szCs w:val="22"/>
              </w:rPr>
              <w:t>0</w:t>
            </w:r>
          </w:p>
        </w:tc>
        <w:tc>
          <w:tcPr>
            <w:tcW w:w="999" w:type="dxa"/>
            <w:tcBorders>
              <w:top w:val="nil"/>
              <w:left w:val="nil"/>
              <w:bottom w:val="single" w:sz="8" w:space="0" w:color="auto"/>
              <w:right w:val="single" w:sz="8" w:space="0" w:color="auto"/>
            </w:tcBorders>
            <w:noWrap/>
            <w:vAlign w:val="center"/>
          </w:tcPr>
          <w:p w:rsidR="00AE7D50" w:rsidRPr="00AD151D" w:rsidRDefault="00AE7D50" w:rsidP="00B07EDA">
            <w:pPr>
              <w:widowControl w:val="0"/>
              <w:tabs>
                <w:tab w:val="left" w:pos="3960"/>
              </w:tabs>
            </w:pPr>
            <w:r w:rsidRPr="00AD151D">
              <w:rPr>
                <w:sz w:val="22"/>
                <w:szCs w:val="22"/>
              </w:rPr>
              <w:t>132</w:t>
            </w:r>
          </w:p>
        </w:tc>
        <w:tc>
          <w:tcPr>
            <w:tcW w:w="946" w:type="dxa"/>
            <w:tcBorders>
              <w:top w:val="nil"/>
              <w:left w:val="nil"/>
              <w:bottom w:val="single" w:sz="8" w:space="0" w:color="auto"/>
              <w:right w:val="single" w:sz="8" w:space="0" w:color="auto"/>
            </w:tcBorders>
            <w:noWrap/>
            <w:vAlign w:val="center"/>
          </w:tcPr>
          <w:p w:rsidR="00AE7D50" w:rsidRPr="00AD151D" w:rsidRDefault="00AE7D50" w:rsidP="00B07EDA">
            <w:pPr>
              <w:widowControl w:val="0"/>
              <w:tabs>
                <w:tab w:val="left" w:pos="3960"/>
              </w:tabs>
              <w:jc w:val="right"/>
              <w:rPr>
                <w:b/>
                <w:bCs/>
              </w:rPr>
            </w:pPr>
            <w:r w:rsidRPr="00AD151D">
              <w:rPr>
                <w:b/>
                <w:bCs/>
                <w:sz w:val="22"/>
                <w:szCs w:val="22"/>
              </w:rPr>
              <w:t>841</w:t>
            </w:r>
          </w:p>
        </w:tc>
      </w:tr>
      <w:tr w:rsidR="00AE7D50" w:rsidRPr="00AD151D" w:rsidTr="006F7ADC">
        <w:trPr>
          <w:trHeight w:val="375"/>
        </w:trPr>
        <w:tc>
          <w:tcPr>
            <w:tcW w:w="681" w:type="dxa"/>
            <w:vMerge/>
            <w:tcBorders>
              <w:top w:val="nil"/>
              <w:left w:val="single" w:sz="8" w:space="0" w:color="auto"/>
              <w:bottom w:val="single" w:sz="8" w:space="0" w:color="000000"/>
              <w:right w:val="single" w:sz="8" w:space="0" w:color="auto"/>
            </w:tcBorders>
            <w:vAlign w:val="center"/>
          </w:tcPr>
          <w:p w:rsidR="00AE7D50" w:rsidRPr="00AD151D" w:rsidRDefault="00AE7D50" w:rsidP="00B07EDA">
            <w:pPr>
              <w:widowControl w:val="0"/>
              <w:tabs>
                <w:tab w:val="left" w:pos="3960"/>
              </w:tabs>
              <w:rPr>
                <w:b/>
                <w:bCs/>
              </w:rPr>
            </w:pPr>
          </w:p>
        </w:tc>
        <w:tc>
          <w:tcPr>
            <w:tcW w:w="4549" w:type="dxa"/>
            <w:tcBorders>
              <w:top w:val="nil"/>
              <w:left w:val="nil"/>
              <w:bottom w:val="single" w:sz="8" w:space="0" w:color="auto"/>
              <w:right w:val="single" w:sz="8" w:space="0" w:color="auto"/>
            </w:tcBorders>
            <w:noWrap/>
            <w:vAlign w:val="center"/>
          </w:tcPr>
          <w:p w:rsidR="00AE7D50" w:rsidRPr="00AD151D" w:rsidRDefault="00AE7D50" w:rsidP="00B07EDA">
            <w:pPr>
              <w:widowControl w:val="0"/>
              <w:tabs>
                <w:tab w:val="left" w:pos="3960"/>
              </w:tabs>
              <w:rPr>
                <w:b/>
                <w:bCs/>
              </w:rPr>
            </w:pPr>
            <w:r w:rsidRPr="00AD151D">
              <w:rPr>
                <w:b/>
                <w:bCs/>
                <w:sz w:val="22"/>
                <w:szCs w:val="22"/>
              </w:rPr>
              <w:t>Difference in CAISO designations from previous year</w:t>
            </w:r>
          </w:p>
        </w:tc>
        <w:tc>
          <w:tcPr>
            <w:tcW w:w="852" w:type="dxa"/>
            <w:tcBorders>
              <w:top w:val="nil"/>
              <w:left w:val="nil"/>
              <w:bottom w:val="single" w:sz="8" w:space="0" w:color="auto"/>
              <w:right w:val="single" w:sz="8" w:space="0" w:color="auto"/>
            </w:tcBorders>
            <w:noWrap/>
            <w:vAlign w:val="center"/>
          </w:tcPr>
          <w:p w:rsidR="00AE7D50" w:rsidRPr="00AD151D" w:rsidRDefault="00AE7D50" w:rsidP="00B07EDA">
            <w:pPr>
              <w:widowControl w:val="0"/>
              <w:tabs>
                <w:tab w:val="left" w:pos="3960"/>
              </w:tabs>
              <w:rPr>
                <w:b/>
                <w:bCs/>
              </w:rPr>
            </w:pPr>
            <w:r w:rsidRPr="00AD151D">
              <w:rPr>
                <w:b/>
                <w:bCs/>
                <w:sz w:val="22"/>
                <w:szCs w:val="22"/>
              </w:rPr>
              <w:t>(40)</w:t>
            </w:r>
          </w:p>
        </w:tc>
        <w:tc>
          <w:tcPr>
            <w:tcW w:w="644" w:type="dxa"/>
            <w:tcBorders>
              <w:top w:val="nil"/>
              <w:left w:val="nil"/>
              <w:bottom w:val="single" w:sz="8" w:space="0" w:color="auto"/>
              <w:right w:val="single" w:sz="8" w:space="0" w:color="auto"/>
            </w:tcBorders>
            <w:noWrap/>
            <w:vAlign w:val="center"/>
          </w:tcPr>
          <w:p w:rsidR="00AE7D50" w:rsidRPr="00AD151D" w:rsidRDefault="00AE7D50" w:rsidP="00B07EDA">
            <w:pPr>
              <w:widowControl w:val="0"/>
              <w:tabs>
                <w:tab w:val="left" w:pos="3960"/>
              </w:tabs>
              <w:rPr>
                <w:b/>
                <w:bCs/>
              </w:rPr>
            </w:pPr>
            <w:r w:rsidRPr="00AD151D">
              <w:rPr>
                <w:b/>
                <w:bCs/>
                <w:sz w:val="22"/>
                <w:szCs w:val="22"/>
              </w:rPr>
              <w:t>0</w:t>
            </w:r>
          </w:p>
        </w:tc>
        <w:tc>
          <w:tcPr>
            <w:tcW w:w="999" w:type="dxa"/>
            <w:tcBorders>
              <w:top w:val="nil"/>
              <w:left w:val="nil"/>
              <w:bottom w:val="single" w:sz="8" w:space="0" w:color="auto"/>
              <w:right w:val="single" w:sz="8" w:space="0" w:color="auto"/>
            </w:tcBorders>
            <w:noWrap/>
            <w:vAlign w:val="center"/>
          </w:tcPr>
          <w:p w:rsidR="00AE7D50" w:rsidRPr="00AD151D" w:rsidRDefault="00AE7D50" w:rsidP="00B07EDA">
            <w:pPr>
              <w:widowControl w:val="0"/>
              <w:tabs>
                <w:tab w:val="left" w:pos="3960"/>
              </w:tabs>
              <w:rPr>
                <w:b/>
                <w:bCs/>
              </w:rPr>
            </w:pPr>
            <w:r w:rsidRPr="00AD151D">
              <w:rPr>
                <w:b/>
                <w:bCs/>
                <w:sz w:val="22"/>
                <w:szCs w:val="22"/>
              </w:rPr>
              <w:t>(982)</w:t>
            </w:r>
          </w:p>
        </w:tc>
        <w:tc>
          <w:tcPr>
            <w:tcW w:w="946" w:type="dxa"/>
            <w:tcBorders>
              <w:top w:val="nil"/>
              <w:left w:val="nil"/>
              <w:bottom w:val="single" w:sz="8" w:space="0" w:color="auto"/>
              <w:right w:val="single" w:sz="8" w:space="0" w:color="auto"/>
            </w:tcBorders>
            <w:noWrap/>
            <w:vAlign w:val="center"/>
          </w:tcPr>
          <w:p w:rsidR="00AE7D50" w:rsidRPr="00AD151D" w:rsidRDefault="00AE7D50" w:rsidP="00B07EDA">
            <w:pPr>
              <w:widowControl w:val="0"/>
              <w:tabs>
                <w:tab w:val="left" w:pos="3960"/>
              </w:tabs>
              <w:jc w:val="center"/>
              <w:rPr>
                <w:b/>
                <w:bCs/>
              </w:rPr>
            </w:pPr>
            <w:r w:rsidRPr="00AD151D">
              <w:rPr>
                <w:b/>
                <w:bCs/>
                <w:sz w:val="22"/>
                <w:szCs w:val="22"/>
              </w:rPr>
              <w:t>(1,022)</w:t>
            </w:r>
          </w:p>
        </w:tc>
      </w:tr>
      <w:tr w:rsidR="00AE7D50" w:rsidRPr="00AD151D" w:rsidTr="006F7ADC">
        <w:trPr>
          <w:trHeight w:val="375"/>
        </w:trPr>
        <w:tc>
          <w:tcPr>
            <w:tcW w:w="681" w:type="dxa"/>
            <w:vMerge w:val="restart"/>
            <w:tcBorders>
              <w:top w:val="nil"/>
              <w:left w:val="single" w:sz="8" w:space="0" w:color="auto"/>
              <w:bottom w:val="single" w:sz="8" w:space="0" w:color="000000"/>
              <w:right w:val="single" w:sz="8" w:space="0" w:color="auto"/>
            </w:tcBorders>
            <w:vAlign w:val="center"/>
          </w:tcPr>
          <w:p w:rsidR="00AE7D50" w:rsidRPr="00AD151D" w:rsidRDefault="00AE7D50" w:rsidP="006645E2">
            <w:pPr>
              <w:widowControl w:val="0"/>
              <w:tabs>
                <w:tab w:val="left" w:pos="3960"/>
              </w:tabs>
              <w:rPr>
                <w:b/>
                <w:bCs/>
              </w:rPr>
            </w:pPr>
            <w:r w:rsidRPr="00AD151D">
              <w:rPr>
                <w:b/>
                <w:bCs/>
                <w:sz w:val="22"/>
                <w:szCs w:val="22"/>
              </w:rPr>
              <w:t>2010</w:t>
            </w:r>
          </w:p>
        </w:tc>
        <w:tc>
          <w:tcPr>
            <w:tcW w:w="4549" w:type="dxa"/>
            <w:tcBorders>
              <w:top w:val="nil"/>
              <w:left w:val="nil"/>
              <w:bottom w:val="single" w:sz="8" w:space="0" w:color="auto"/>
              <w:right w:val="single" w:sz="8" w:space="0" w:color="auto"/>
            </w:tcBorders>
            <w:noWrap/>
            <w:vAlign w:val="center"/>
          </w:tcPr>
          <w:p w:rsidR="00AE7D50" w:rsidRPr="00B07EDA" w:rsidRDefault="003878E0" w:rsidP="006645E2">
            <w:pPr>
              <w:widowControl w:val="0"/>
              <w:tabs>
                <w:tab w:val="left" w:pos="3960"/>
              </w:tabs>
              <w:rPr>
                <w:bCs/>
              </w:rPr>
            </w:pPr>
            <w:r w:rsidRPr="00B07EDA">
              <w:rPr>
                <w:bCs/>
                <w:sz w:val="22"/>
                <w:szCs w:val="22"/>
              </w:rPr>
              <w:t>Approved by</w:t>
            </w:r>
            <w:r w:rsidR="00AE7D50" w:rsidRPr="00B07EDA">
              <w:rPr>
                <w:bCs/>
                <w:sz w:val="22"/>
                <w:szCs w:val="22"/>
              </w:rPr>
              <w:t xml:space="preserve"> CAISO Board of Governors</w:t>
            </w:r>
          </w:p>
        </w:tc>
        <w:tc>
          <w:tcPr>
            <w:tcW w:w="852" w:type="dxa"/>
            <w:tcBorders>
              <w:top w:val="nil"/>
              <w:left w:val="nil"/>
              <w:bottom w:val="single" w:sz="8" w:space="0" w:color="auto"/>
              <w:right w:val="single" w:sz="8" w:space="0" w:color="auto"/>
            </w:tcBorders>
            <w:noWrap/>
            <w:vAlign w:val="center"/>
          </w:tcPr>
          <w:p w:rsidR="00AE7D50" w:rsidRPr="00AD151D" w:rsidRDefault="00AE7D50" w:rsidP="006645E2">
            <w:pPr>
              <w:widowControl w:val="0"/>
              <w:tabs>
                <w:tab w:val="left" w:pos="3960"/>
              </w:tabs>
            </w:pPr>
            <w:r w:rsidRPr="00AD151D">
              <w:rPr>
                <w:sz w:val="22"/>
                <w:szCs w:val="22"/>
              </w:rPr>
              <w:t>709</w:t>
            </w:r>
          </w:p>
        </w:tc>
        <w:tc>
          <w:tcPr>
            <w:tcW w:w="644" w:type="dxa"/>
            <w:tcBorders>
              <w:top w:val="nil"/>
              <w:left w:val="nil"/>
              <w:bottom w:val="single" w:sz="8" w:space="0" w:color="auto"/>
              <w:right w:val="single" w:sz="8" w:space="0" w:color="auto"/>
            </w:tcBorders>
            <w:noWrap/>
            <w:vAlign w:val="center"/>
          </w:tcPr>
          <w:p w:rsidR="00AE7D50" w:rsidRPr="00AD151D" w:rsidRDefault="00AE7D50" w:rsidP="006645E2">
            <w:pPr>
              <w:widowControl w:val="0"/>
              <w:tabs>
                <w:tab w:val="left" w:pos="3960"/>
              </w:tabs>
            </w:pPr>
            <w:r w:rsidRPr="00AD151D">
              <w:rPr>
                <w:sz w:val="22"/>
                <w:szCs w:val="22"/>
              </w:rPr>
              <w:t>0</w:t>
            </w:r>
          </w:p>
        </w:tc>
        <w:tc>
          <w:tcPr>
            <w:tcW w:w="999" w:type="dxa"/>
            <w:tcBorders>
              <w:top w:val="nil"/>
              <w:left w:val="nil"/>
              <w:bottom w:val="single" w:sz="8" w:space="0" w:color="auto"/>
              <w:right w:val="single" w:sz="8" w:space="0" w:color="auto"/>
            </w:tcBorders>
            <w:noWrap/>
            <w:vAlign w:val="center"/>
          </w:tcPr>
          <w:p w:rsidR="00AE7D50" w:rsidRPr="00AD151D" w:rsidRDefault="00AE7D50" w:rsidP="006645E2">
            <w:pPr>
              <w:widowControl w:val="0"/>
              <w:tabs>
                <w:tab w:val="left" w:pos="3960"/>
              </w:tabs>
            </w:pPr>
            <w:r w:rsidRPr="00AD151D">
              <w:rPr>
                <w:sz w:val="22"/>
                <w:szCs w:val="22"/>
              </w:rPr>
              <w:t>311</w:t>
            </w:r>
          </w:p>
        </w:tc>
        <w:tc>
          <w:tcPr>
            <w:tcW w:w="946" w:type="dxa"/>
            <w:tcBorders>
              <w:top w:val="nil"/>
              <w:left w:val="nil"/>
              <w:bottom w:val="single" w:sz="8" w:space="0" w:color="auto"/>
              <w:right w:val="single" w:sz="8" w:space="0" w:color="auto"/>
            </w:tcBorders>
            <w:noWrap/>
            <w:vAlign w:val="center"/>
          </w:tcPr>
          <w:p w:rsidR="00AE7D50" w:rsidRPr="00AD151D" w:rsidRDefault="00AE7D50" w:rsidP="00B07EDA">
            <w:pPr>
              <w:widowControl w:val="0"/>
              <w:tabs>
                <w:tab w:val="left" w:pos="3960"/>
              </w:tabs>
              <w:jc w:val="right"/>
              <w:rPr>
                <w:b/>
                <w:bCs/>
              </w:rPr>
            </w:pPr>
            <w:r w:rsidRPr="00AD151D">
              <w:rPr>
                <w:b/>
                <w:bCs/>
                <w:sz w:val="22"/>
                <w:szCs w:val="22"/>
              </w:rPr>
              <w:t>1,020</w:t>
            </w:r>
          </w:p>
        </w:tc>
      </w:tr>
      <w:tr w:rsidR="00AE7D50" w:rsidRPr="00AD151D" w:rsidTr="006F7ADC">
        <w:trPr>
          <w:trHeight w:val="375"/>
        </w:trPr>
        <w:tc>
          <w:tcPr>
            <w:tcW w:w="681" w:type="dxa"/>
            <w:vMerge/>
            <w:tcBorders>
              <w:top w:val="nil"/>
              <w:left w:val="single" w:sz="8" w:space="0" w:color="auto"/>
              <w:bottom w:val="single" w:sz="8" w:space="0" w:color="000000"/>
              <w:right w:val="single" w:sz="8" w:space="0" w:color="auto"/>
            </w:tcBorders>
            <w:vAlign w:val="center"/>
          </w:tcPr>
          <w:p w:rsidR="00AE7D50" w:rsidRPr="00AD151D" w:rsidRDefault="00AE7D50" w:rsidP="00B07EDA">
            <w:pPr>
              <w:widowControl w:val="0"/>
              <w:tabs>
                <w:tab w:val="left" w:pos="3960"/>
              </w:tabs>
              <w:rPr>
                <w:b/>
                <w:bCs/>
              </w:rPr>
            </w:pPr>
          </w:p>
        </w:tc>
        <w:tc>
          <w:tcPr>
            <w:tcW w:w="4549" w:type="dxa"/>
            <w:tcBorders>
              <w:top w:val="nil"/>
              <w:left w:val="nil"/>
              <w:bottom w:val="single" w:sz="8" w:space="0" w:color="auto"/>
              <w:right w:val="single" w:sz="8" w:space="0" w:color="auto"/>
            </w:tcBorders>
            <w:noWrap/>
            <w:vAlign w:val="center"/>
          </w:tcPr>
          <w:p w:rsidR="00AE7D50" w:rsidRPr="00B07EDA" w:rsidRDefault="00586B1F" w:rsidP="00B07EDA">
            <w:pPr>
              <w:widowControl w:val="0"/>
              <w:tabs>
                <w:tab w:val="left" w:pos="3960"/>
              </w:tabs>
              <w:rPr>
                <w:bCs/>
              </w:rPr>
            </w:pPr>
            <w:r w:rsidRPr="00B07EDA">
              <w:rPr>
                <w:bCs/>
                <w:sz w:val="22"/>
                <w:szCs w:val="22"/>
              </w:rPr>
              <w:t xml:space="preserve">Local RMR </w:t>
            </w:r>
            <w:r>
              <w:rPr>
                <w:bCs/>
                <w:sz w:val="22"/>
                <w:szCs w:val="22"/>
              </w:rPr>
              <w:t>A</w:t>
            </w:r>
            <w:r w:rsidRPr="00B07EDA">
              <w:rPr>
                <w:bCs/>
                <w:sz w:val="22"/>
                <w:szCs w:val="22"/>
              </w:rPr>
              <w:t>llocations</w:t>
            </w:r>
            <w:r>
              <w:rPr>
                <w:bCs/>
                <w:sz w:val="22"/>
                <w:szCs w:val="22"/>
              </w:rPr>
              <w:t xml:space="preserve"> Executed</w:t>
            </w:r>
          </w:p>
        </w:tc>
        <w:tc>
          <w:tcPr>
            <w:tcW w:w="852" w:type="dxa"/>
            <w:tcBorders>
              <w:top w:val="nil"/>
              <w:left w:val="nil"/>
              <w:bottom w:val="single" w:sz="8" w:space="0" w:color="auto"/>
              <w:right w:val="single" w:sz="8" w:space="0" w:color="auto"/>
            </w:tcBorders>
            <w:noWrap/>
            <w:vAlign w:val="center"/>
          </w:tcPr>
          <w:p w:rsidR="00AE7D50" w:rsidRPr="00AD151D" w:rsidRDefault="00AE7D50" w:rsidP="00B07EDA">
            <w:pPr>
              <w:widowControl w:val="0"/>
              <w:tabs>
                <w:tab w:val="left" w:pos="3960"/>
              </w:tabs>
            </w:pPr>
            <w:r w:rsidRPr="00AD151D">
              <w:rPr>
                <w:sz w:val="22"/>
                <w:szCs w:val="22"/>
              </w:rPr>
              <w:t>709</w:t>
            </w:r>
          </w:p>
        </w:tc>
        <w:tc>
          <w:tcPr>
            <w:tcW w:w="644" w:type="dxa"/>
            <w:tcBorders>
              <w:top w:val="nil"/>
              <w:left w:val="nil"/>
              <w:bottom w:val="single" w:sz="8" w:space="0" w:color="auto"/>
              <w:right w:val="single" w:sz="8" w:space="0" w:color="auto"/>
            </w:tcBorders>
            <w:noWrap/>
            <w:vAlign w:val="center"/>
          </w:tcPr>
          <w:p w:rsidR="00AE7D50" w:rsidRPr="00AD151D" w:rsidRDefault="00AE7D50" w:rsidP="00B07EDA">
            <w:pPr>
              <w:widowControl w:val="0"/>
              <w:tabs>
                <w:tab w:val="left" w:pos="3960"/>
              </w:tabs>
            </w:pPr>
            <w:r w:rsidRPr="00AD151D">
              <w:rPr>
                <w:sz w:val="22"/>
                <w:szCs w:val="22"/>
              </w:rPr>
              <w:t>0</w:t>
            </w:r>
          </w:p>
        </w:tc>
        <w:tc>
          <w:tcPr>
            <w:tcW w:w="999" w:type="dxa"/>
            <w:tcBorders>
              <w:top w:val="nil"/>
              <w:left w:val="nil"/>
              <w:bottom w:val="single" w:sz="8" w:space="0" w:color="auto"/>
              <w:right w:val="single" w:sz="8" w:space="0" w:color="auto"/>
            </w:tcBorders>
            <w:noWrap/>
            <w:vAlign w:val="center"/>
          </w:tcPr>
          <w:p w:rsidR="00AE7D50" w:rsidRPr="00AD151D" w:rsidRDefault="00AE7D50" w:rsidP="00B07EDA">
            <w:pPr>
              <w:widowControl w:val="0"/>
              <w:tabs>
                <w:tab w:val="left" w:pos="3960"/>
              </w:tabs>
            </w:pPr>
            <w:r w:rsidRPr="00AD151D">
              <w:rPr>
                <w:sz w:val="22"/>
                <w:szCs w:val="22"/>
              </w:rPr>
              <w:t>311</w:t>
            </w:r>
          </w:p>
        </w:tc>
        <w:tc>
          <w:tcPr>
            <w:tcW w:w="946" w:type="dxa"/>
            <w:tcBorders>
              <w:top w:val="nil"/>
              <w:left w:val="nil"/>
              <w:bottom w:val="single" w:sz="8" w:space="0" w:color="auto"/>
              <w:right w:val="single" w:sz="8" w:space="0" w:color="auto"/>
            </w:tcBorders>
            <w:noWrap/>
            <w:vAlign w:val="center"/>
          </w:tcPr>
          <w:p w:rsidR="00AE7D50" w:rsidRPr="00AD151D" w:rsidRDefault="00AE7D50" w:rsidP="00B07EDA">
            <w:pPr>
              <w:widowControl w:val="0"/>
              <w:tabs>
                <w:tab w:val="left" w:pos="3960"/>
              </w:tabs>
              <w:jc w:val="right"/>
              <w:rPr>
                <w:b/>
                <w:bCs/>
              </w:rPr>
            </w:pPr>
            <w:r w:rsidRPr="00AD151D">
              <w:rPr>
                <w:b/>
                <w:bCs/>
                <w:sz w:val="22"/>
                <w:szCs w:val="22"/>
              </w:rPr>
              <w:t>1,020</w:t>
            </w:r>
          </w:p>
        </w:tc>
      </w:tr>
      <w:tr w:rsidR="00AE7D50" w:rsidRPr="00AD151D" w:rsidTr="006F7ADC">
        <w:trPr>
          <w:trHeight w:val="375"/>
        </w:trPr>
        <w:tc>
          <w:tcPr>
            <w:tcW w:w="681" w:type="dxa"/>
            <w:vMerge/>
            <w:tcBorders>
              <w:top w:val="nil"/>
              <w:left w:val="single" w:sz="8" w:space="0" w:color="auto"/>
              <w:bottom w:val="single" w:sz="8" w:space="0" w:color="000000"/>
              <w:right w:val="single" w:sz="8" w:space="0" w:color="auto"/>
            </w:tcBorders>
            <w:vAlign w:val="center"/>
          </w:tcPr>
          <w:p w:rsidR="00AE7D50" w:rsidRPr="00AD151D" w:rsidRDefault="00AE7D50" w:rsidP="00B07EDA">
            <w:pPr>
              <w:widowControl w:val="0"/>
              <w:tabs>
                <w:tab w:val="left" w:pos="3960"/>
              </w:tabs>
              <w:rPr>
                <w:b/>
                <w:bCs/>
              </w:rPr>
            </w:pPr>
          </w:p>
        </w:tc>
        <w:tc>
          <w:tcPr>
            <w:tcW w:w="4549" w:type="dxa"/>
            <w:tcBorders>
              <w:top w:val="nil"/>
              <w:left w:val="nil"/>
              <w:bottom w:val="single" w:sz="8" w:space="0" w:color="auto"/>
              <w:right w:val="single" w:sz="8" w:space="0" w:color="auto"/>
            </w:tcBorders>
            <w:noWrap/>
            <w:vAlign w:val="center"/>
          </w:tcPr>
          <w:p w:rsidR="00AE7D50" w:rsidRPr="00AD151D" w:rsidRDefault="00AE7D50" w:rsidP="00B07EDA">
            <w:pPr>
              <w:widowControl w:val="0"/>
              <w:tabs>
                <w:tab w:val="left" w:pos="3960"/>
              </w:tabs>
              <w:rPr>
                <w:b/>
                <w:bCs/>
              </w:rPr>
            </w:pPr>
            <w:r w:rsidRPr="00AD151D">
              <w:rPr>
                <w:b/>
                <w:bCs/>
                <w:sz w:val="22"/>
                <w:szCs w:val="22"/>
              </w:rPr>
              <w:t>Difference in CAISO designations from previous year</w:t>
            </w:r>
          </w:p>
        </w:tc>
        <w:tc>
          <w:tcPr>
            <w:tcW w:w="852" w:type="dxa"/>
            <w:tcBorders>
              <w:top w:val="nil"/>
              <w:left w:val="nil"/>
              <w:bottom w:val="single" w:sz="8" w:space="0" w:color="auto"/>
              <w:right w:val="single" w:sz="8" w:space="0" w:color="auto"/>
            </w:tcBorders>
            <w:noWrap/>
            <w:vAlign w:val="center"/>
          </w:tcPr>
          <w:p w:rsidR="00AE7D50" w:rsidRPr="00AD151D" w:rsidRDefault="00AE7D50" w:rsidP="00B07EDA">
            <w:pPr>
              <w:widowControl w:val="0"/>
              <w:tabs>
                <w:tab w:val="left" w:pos="3960"/>
              </w:tabs>
              <w:rPr>
                <w:b/>
                <w:bCs/>
              </w:rPr>
            </w:pPr>
            <w:r w:rsidRPr="00AD151D">
              <w:rPr>
                <w:b/>
                <w:bCs/>
                <w:sz w:val="22"/>
                <w:szCs w:val="22"/>
              </w:rPr>
              <w:t>(554)</w:t>
            </w:r>
          </w:p>
        </w:tc>
        <w:tc>
          <w:tcPr>
            <w:tcW w:w="644" w:type="dxa"/>
            <w:tcBorders>
              <w:top w:val="nil"/>
              <w:left w:val="nil"/>
              <w:bottom w:val="single" w:sz="8" w:space="0" w:color="auto"/>
              <w:right w:val="single" w:sz="8" w:space="0" w:color="auto"/>
            </w:tcBorders>
            <w:noWrap/>
            <w:vAlign w:val="center"/>
          </w:tcPr>
          <w:p w:rsidR="00AE7D50" w:rsidRPr="00AD151D" w:rsidRDefault="00AE7D50" w:rsidP="00B07EDA">
            <w:pPr>
              <w:widowControl w:val="0"/>
              <w:tabs>
                <w:tab w:val="left" w:pos="3960"/>
              </w:tabs>
              <w:rPr>
                <w:b/>
                <w:bCs/>
              </w:rPr>
            </w:pPr>
            <w:r w:rsidRPr="00AD151D">
              <w:rPr>
                <w:b/>
                <w:bCs/>
                <w:sz w:val="22"/>
                <w:szCs w:val="22"/>
              </w:rPr>
              <w:t>0</w:t>
            </w:r>
          </w:p>
        </w:tc>
        <w:tc>
          <w:tcPr>
            <w:tcW w:w="999" w:type="dxa"/>
            <w:tcBorders>
              <w:top w:val="nil"/>
              <w:left w:val="nil"/>
              <w:bottom w:val="single" w:sz="8" w:space="0" w:color="auto"/>
              <w:right w:val="single" w:sz="8" w:space="0" w:color="auto"/>
            </w:tcBorders>
            <w:noWrap/>
            <w:vAlign w:val="center"/>
          </w:tcPr>
          <w:p w:rsidR="00AE7D50" w:rsidRPr="00AD151D" w:rsidRDefault="00AE7D50" w:rsidP="00B07EDA">
            <w:pPr>
              <w:widowControl w:val="0"/>
              <w:tabs>
                <w:tab w:val="left" w:pos="3960"/>
              </w:tabs>
              <w:rPr>
                <w:b/>
                <w:bCs/>
              </w:rPr>
            </w:pPr>
            <w:r w:rsidRPr="00AD151D">
              <w:rPr>
                <w:b/>
                <w:bCs/>
                <w:sz w:val="22"/>
                <w:szCs w:val="22"/>
              </w:rPr>
              <w:t>(668)</w:t>
            </w:r>
          </w:p>
        </w:tc>
        <w:tc>
          <w:tcPr>
            <w:tcW w:w="946" w:type="dxa"/>
            <w:tcBorders>
              <w:top w:val="nil"/>
              <w:left w:val="nil"/>
              <w:bottom w:val="single" w:sz="8" w:space="0" w:color="auto"/>
              <w:right w:val="single" w:sz="8" w:space="0" w:color="auto"/>
            </w:tcBorders>
            <w:noWrap/>
            <w:vAlign w:val="center"/>
          </w:tcPr>
          <w:p w:rsidR="00AE7D50" w:rsidRPr="00AD151D" w:rsidRDefault="00AE7D50" w:rsidP="00B07EDA">
            <w:pPr>
              <w:widowControl w:val="0"/>
              <w:tabs>
                <w:tab w:val="left" w:pos="3960"/>
              </w:tabs>
              <w:jc w:val="center"/>
              <w:rPr>
                <w:b/>
                <w:bCs/>
              </w:rPr>
            </w:pPr>
            <w:r w:rsidRPr="00AD151D">
              <w:rPr>
                <w:b/>
                <w:bCs/>
                <w:sz w:val="22"/>
                <w:szCs w:val="22"/>
              </w:rPr>
              <w:t>(1,222)</w:t>
            </w:r>
          </w:p>
        </w:tc>
      </w:tr>
      <w:tr w:rsidR="00F12A8E" w:rsidRPr="00AD151D" w:rsidTr="006F7ADC">
        <w:trPr>
          <w:trHeight w:val="375"/>
        </w:trPr>
        <w:tc>
          <w:tcPr>
            <w:tcW w:w="681" w:type="dxa"/>
            <w:vMerge w:val="restart"/>
            <w:tcBorders>
              <w:top w:val="nil"/>
              <w:left w:val="single" w:sz="8" w:space="0" w:color="auto"/>
              <w:bottom w:val="single" w:sz="8" w:space="0" w:color="000000"/>
              <w:right w:val="single" w:sz="8" w:space="0" w:color="auto"/>
            </w:tcBorders>
            <w:vAlign w:val="center"/>
          </w:tcPr>
          <w:p w:rsidR="00F12A8E" w:rsidRPr="00AD151D" w:rsidRDefault="00F12A8E" w:rsidP="006645E2">
            <w:pPr>
              <w:widowControl w:val="0"/>
              <w:tabs>
                <w:tab w:val="left" w:pos="3960"/>
              </w:tabs>
              <w:rPr>
                <w:b/>
                <w:bCs/>
              </w:rPr>
            </w:pPr>
            <w:r w:rsidRPr="00AD151D">
              <w:rPr>
                <w:b/>
                <w:bCs/>
                <w:sz w:val="22"/>
                <w:szCs w:val="22"/>
              </w:rPr>
              <w:t>2011</w:t>
            </w:r>
          </w:p>
        </w:tc>
        <w:tc>
          <w:tcPr>
            <w:tcW w:w="4549" w:type="dxa"/>
            <w:tcBorders>
              <w:top w:val="nil"/>
              <w:left w:val="nil"/>
              <w:bottom w:val="single" w:sz="8" w:space="0" w:color="auto"/>
              <w:right w:val="single" w:sz="8" w:space="0" w:color="auto"/>
            </w:tcBorders>
            <w:noWrap/>
            <w:vAlign w:val="center"/>
          </w:tcPr>
          <w:p w:rsidR="00F12A8E" w:rsidRPr="00B07EDA" w:rsidRDefault="003878E0" w:rsidP="006645E2">
            <w:pPr>
              <w:widowControl w:val="0"/>
              <w:tabs>
                <w:tab w:val="left" w:pos="3960"/>
              </w:tabs>
              <w:rPr>
                <w:bCs/>
                <w:sz w:val="22"/>
                <w:szCs w:val="22"/>
              </w:rPr>
            </w:pPr>
            <w:r w:rsidRPr="00B07EDA">
              <w:rPr>
                <w:bCs/>
                <w:sz w:val="22"/>
                <w:szCs w:val="22"/>
              </w:rPr>
              <w:t>Approved by</w:t>
            </w:r>
            <w:r w:rsidR="00F12A8E" w:rsidRPr="00B07EDA">
              <w:rPr>
                <w:bCs/>
                <w:sz w:val="22"/>
                <w:szCs w:val="22"/>
              </w:rPr>
              <w:t xml:space="preserve"> CAISO Board of Governors</w:t>
            </w:r>
          </w:p>
        </w:tc>
        <w:tc>
          <w:tcPr>
            <w:tcW w:w="852" w:type="dxa"/>
            <w:tcBorders>
              <w:top w:val="nil"/>
              <w:left w:val="nil"/>
              <w:bottom w:val="single" w:sz="8" w:space="0" w:color="auto"/>
              <w:right w:val="single" w:sz="8" w:space="0" w:color="auto"/>
            </w:tcBorders>
            <w:noWrap/>
            <w:vAlign w:val="center"/>
          </w:tcPr>
          <w:p w:rsidR="00F12A8E" w:rsidRPr="00B07EDA" w:rsidRDefault="00F12A8E" w:rsidP="006645E2">
            <w:pPr>
              <w:widowControl w:val="0"/>
              <w:rPr>
                <w:sz w:val="22"/>
                <w:szCs w:val="22"/>
              </w:rPr>
            </w:pPr>
            <w:r w:rsidRPr="00B07EDA">
              <w:rPr>
                <w:sz w:val="22"/>
                <w:szCs w:val="22"/>
              </w:rPr>
              <w:t>165</w:t>
            </w:r>
          </w:p>
        </w:tc>
        <w:tc>
          <w:tcPr>
            <w:tcW w:w="644" w:type="dxa"/>
            <w:tcBorders>
              <w:top w:val="nil"/>
              <w:left w:val="nil"/>
              <w:bottom w:val="single" w:sz="8" w:space="0" w:color="auto"/>
              <w:right w:val="single" w:sz="8" w:space="0" w:color="auto"/>
            </w:tcBorders>
            <w:noWrap/>
            <w:vAlign w:val="center"/>
          </w:tcPr>
          <w:p w:rsidR="00F12A8E" w:rsidRPr="00B07EDA" w:rsidRDefault="00F12A8E" w:rsidP="006645E2">
            <w:pPr>
              <w:widowControl w:val="0"/>
              <w:rPr>
                <w:sz w:val="22"/>
                <w:szCs w:val="22"/>
              </w:rPr>
            </w:pPr>
            <w:r w:rsidRPr="00B07EDA">
              <w:rPr>
                <w:sz w:val="22"/>
                <w:szCs w:val="22"/>
              </w:rPr>
              <w:t>0</w:t>
            </w:r>
          </w:p>
        </w:tc>
        <w:tc>
          <w:tcPr>
            <w:tcW w:w="999" w:type="dxa"/>
            <w:tcBorders>
              <w:top w:val="nil"/>
              <w:left w:val="nil"/>
              <w:bottom w:val="single" w:sz="8" w:space="0" w:color="auto"/>
              <w:right w:val="single" w:sz="8" w:space="0" w:color="auto"/>
            </w:tcBorders>
            <w:noWrap/>
            <w:vAlign w:val="center"/>
          </w:tcPr>
          <w:p w:rsidR="00F12A8E" w:rsidRPr="00B07EDA" w:rsidRDefault="00F12A8E" w:rsidP="006645E2">
            <w:pPr>
              <w:widowControl w:val="0"/>
              <w:rPr>
                <w:sz w:val="22"/>
                <w:szCs w:val="22"/>
              </w:rPr>
            </w:pPr>
            <w:r w:rsidRPr="00B07EDA">
              <w:rPr>
                <w:sz w:val="22"/>
                <w:szCs w:val="22"/>
              </w:rPr>
              <w:t>0</w:t>
            </w:r>
          </w:p>
        </w:tc>
        <w:tc>
          <w:tcPr>
            <w:tcW w:w="946" w:type="dxa"/>
            <w:tcBorders>
              <w:top w:val="nil"/>
              <w:left w:val="nil"/>
              <w:bottom w:val="single" w:sz="8" w:space="0" w:color="auto"/>
              <w:right w:val="single" w:sz="8" w:space="0" w:color="auto"/>
            </w:tcBorders>
            <w:noWrap/>
            <w:vAlign w:val="center"/>
          </w:tcPr>
          <w:p w:rsidR="00F12A8E" w:rsidRPr="00B07EDA" w:rsidRDefault="00F12A8E" w:rsidP="00B07EDA">
            <w:pPr>
              <w:widowControl w:val="0"/>
              <w:jc w:val="right"/>
              <w:rPr>
                <w:b/>
                <w:bCs/>
                <w:sz w:val="22"/>
                <w:szCs w:val="22"/>
              </w:rPr>
            </w:pPr>
            <w:r w:rsidRPr="00B07EDA">
              <w:rPr>
                <w:b/>
                <w:bCs/>
                <w:sz w:val="22"/>
                <w:szCs w:val="22"/>
              </w:rPr>
              <w:t>165</w:t>
            </w:r>
          </w:p>
        </w:tc>
      </w:tr>
      <w:tr w:rsidR="00F12A8E" w:rsidRPr="00AD151D" w:rsidTr="006F7ADC">
        <w:trPr>
          <w:trHeight w:val="375"/>
        </w:trPr>
        <w:tc>
          <w:tcPr>
            <w:tcW w:w="681" w:type="dxa"/>
            <w:vMerge/>
            <w:tcBorders>
              <w:top w:val="nil"/>
              <w:left w:val="single" w:sz="8" w:space="0" w:color="auto"/>
              <w:bottom w:val="single" w:sz="8" w:space="0" w:color="000000"/>
              <w:right w:val="single" w:sz="8" w:space="0" w:color="auto"/>
            </w:tcBorders>
            <w:vAlign w:val="center"/>
          </w:tcPr>
          <w:p w:rsidR="00F12A8E" w:rsidRPr="00AD151D" w:rsidRDefault="00F12A8E" w:rsidP="006645E2">
            <w:pPr>
              <w:widowControl w:val="0"/>
              <w:tabs>
                <w:tab w:val="left" w:pos="3960"/>
              </w:tabs>
              <w:rPr>
                <w:b/>
                <w:bCs/>
              </w:rPr>
            </w:pPr>
          </w:p>
        </w:tc>
        <w:tc>
          <w:tcPr>
            <w:tcW w:w="4549" w:type="dxa"/>
            <w:tcBorders>
              <w:top w:val="nil"/>
              <w:left w:val="nil"/>
              <w:bottom w:val="single" w:sz="8" w:space="0" w:color="auto"/>
              <w:right w:val="single" w:sz="8" w:space="0" w:color="auto"/>
            </w:tcBorders>
            <w:noWrap/>
            <w:vAlign w:val="center"/>
          </w:tcPr>
          <w:p w:rsidR="00F12A8E" w:rsidRPr="00B07EDA" w:rsidRDefault="00586B1F" w:rsidP="006645E2">
            <w:pPr>
              <w:widowControl w:val="0"/>
              <w:tabs>
                <w:tab w:val="left" w:pos="3960"/>
              </w:tabs>
              <w:rPr>
                <w:bCs/>
                <w:sz w:val="22"/>
                <w:szCs w:val="22"/>
              </w:rPr>
            </w:pPr>
            <w:r w:rsidRPr="00B07EDA">
              <w:rPr>
                <w:bCs/>
                <w:sz w:val="22"/>
                <w:szCs w:val="22"/>
              </w:rPr>
              <w:t xml:space="preserve">Local RMR </w:t>
            </w:r>
            <w:r>
              <w:rPr>
                <w:bCs/>
                <w:sz w:val="22"/>
                <w:szCs w:val="22"/>
              </w:rPr>
              <w:t>A</w:t>
            </w:r>
            <w:r w:rsidRPr="00B07EDA">
              <w:rPr>
                <w:bCs/>
                <w:sz w:val="22"/>
                <w:szCs w:val="22"/>
              </w:rPr>
              <w:t>llocations</w:t>
            </w:r>
            <w:r>
              <w:rPr>
                <w:bCs/>
                <w:sz w:val="22"/>
                <w:szCs w:val="22"/>
              </w:rPr>
              <w:t xml:space="preserve"> Executed</w:t>
            </w:r>
          </w:p>
        </w:tc>
        <w:tc>
          <w:tcPr>
            <w:tcW w:w="852" w:type="dxa"/>
            <w:tcBorders>
              <w:top w:val="nil"/>
              <w:left w:val="nil"/>
              <w:bottom w:val="single" w:sz="8" w:space="0" w:color="auto"/>
              <w:right w:val="single" w:sz="8" w:space="0" w:color="auto"/>
            </w:tcBorders>
            <w:noWrap/>
            <w:vAlign w:val="center"/>
          </w:tcPr>
          <w:p w:rsidR="00F12A8E" w:rsidRPr="00B07EDA" w:rsidRDefault="00F12A8E" w:rsidP="006645E2">
            <w:pPr>
              <w:widowControl w:val="0"/>
              <w:rPr>
                <w:sz w:val="22"/>
                <w:szCs w:val="22"/>
              </w:rPr>
            </w:pPr>
            <w:r w:rsidRPr="00B07EDA">
              <w:rPr>
                <w:sz w:val="22"/>
                <w:szCs w:val="22"/>
              </w:rPr>
              <w:t>165</w:t>
            </w:r>
          </w:p>
        </w:tc>
        <w:tc>
          <w:tcPr>
            <w:tcW w:w="644" w:type="dxa"/>
            <w:tcBorders>
              <w:top w:val="nil"/>
              <w:left w:val="nil"/>
              <w:bottom w:val="single" w:sz="8" w:space="0" w:color="auto"/>
              <w:right w:val="single" w:sz="8" w:space="0" w:color="auto"/>
            </w:tcBorders>
            <w:noWrap/>
            <w:vAlign w:val="center"/>
          </w:tcPr>
          <w:p w:rsidR="00F12A8E" w:rsidRPr="00B07EDA" w:rsidRDefault="00F12A8E" w:rsidP="006645E2">
            <w:pPr>
              <w:widowControl w:val="0"/>
              <w:rPr>
                <w:sz w:val="22"/>
                <w:szCs w:val="22"/>
              </w:rPr>
            </w:pPr>
            <w:r w:rsidRPr="00B07EDA">
              <w:rPr>
                <w:sz w:val="22"/>
                <w:szCs w:val="22"/>
              </w:rPr>
              <w:t>0</w:t>
            </w:r>
          </w:p>
        </w:tc>
        <w:tc>
          <w:tcPr>
            <w:tcW w:w="999" w:type="dxa"/>
            <w:tcBorders>
              <w:top w:val="nil"/>
              <w:left w:val="nil"/>
              <w:bottom w:val="single" w:sz="8" w:space="0" w:color="auto"/>
              <w:right w:val="single" w:sz="8" w:space="0" w:color="auto"/>
            </w:tcBorders>
            <w:noWrap/>
            <w:vAlign w:val="center"/>
          </w:tcPr>
          <w:p w:rsidR="00F12A8E" w:rsidRPr="00B07EDA" w:rsidRDefault="00F12A8E" w:rsidP="006645E2">
            <w:pPr>
              <w:widowControl w:val="0"/>
              <w:rPr>
                <w:sz w:val="22"/>
                <w:szCs w:val="22"/>
              </w:rPr>
            </w:pPr>
            <w:r w:rsidRPr="00B07EDA">
              <w:rPr>
                <w:sz w:val="22"/>
                <w:szCs w:val="22"/>
              </w:rPr>
              <w:t>0</w:t>
            </w:r>
          </w:p>
        </w:tc>
        <w:tc>
          <w:tcPr>
            <w:tcW w:w="946" w:type="dxa"/>
            <w:tcBorders>
              <w:top w:val="nil"/>
              <w:left w:val="nil"/>
              <w:bottom w:val="single" w:sz="8" w:space="0" w:color="auto"/>
              <w:right w:val="single" w:sz="8" w:space="0" w:color="auto"/>
            </w:tcBorders>
            <w:noWrap/>
            <w:vAlign w:val="center"/>
          </w:tcPr>
          <w:p w:rsidR="00F12A8E" w:rsidRPr="00B07EDA" w:rsidRDefault="00F12A8E" w:rsidP="00B07EDA">
            <w:pPr>
              <w:widowControl w:val="0"/>
              <w:jc w:val="right"/>
              <w:rPr>
                <w:b/>
                <w:bCs/>
                <w:sz w:val="22"/>
                <w:szCs w:val="22"/>
              </w:rPr>
            </w:pPr>
            <w:r w:rsidRPr="00B07EDA">
              <w:rPr>
                <w:b/>
                <w:bCs/>
                <w:sz w:val="22"/>
                <w:szCs w:val="22"/>
              </w:rPr>
              <w:t>165</w:t>
            </w:r>
          </w:p>
        </w:tc>
      </w:tr>
      <w:tr w:rsidR="00F12A8E" w:rsidRPr="00AD151D" w:rsidTr="006F7ADC">
        <w:trPr>
          <w:trHeight w:val="375"/>
        </w:trPr>
        <w:tc>
          <w:tcPr>
            <w:tcW w:w="681" w:type="dxa"/>
            <w:vMerge/>
            <w:tcBorders>
              <w:top w:val="nil"/>
              <w:left w:val="single" w:sz="8" w:space="0" w:color="auto"/>
              <w:bottom w:val="single" w:sz="8" w:space="0" w:color="000000"/>
              <w:right w:val="single" w:sz="8" w:space="0" w:color="auto"/>
            </w:tcBorders>
            <w:vAlign w:val="center"/>
          </w:tcPr>
          <w:p w:rsidR="00F12A8E" w:rsidRPr="00AD151D" w:rsidRDefault="00F12A8E" w:rsidP="006645E2">
            <w:pPr>
              <w:widowControl w:val="0"/>
              <w:tabs>
                <w:tab w:val="left" w:pos="3960"/>
              </w:tabs>
              <w:rPr>
                <w:b/>
                <w:bCs/>
              </w:rPr>
            </w:pPr>
          </w:p>
        </w:tc>
        <w:tc>
          <w:tcPr>
            <w:tcW w:w="4549" w:type="dxa"/>
            <w:tcBorders>
              <w:top w:val="nil"/>
              <w:left w:val="nil"/>
              <w:bottom w:val="single" w:sz="8" w:space="0" w:color="auto"/>
              <w:right w:val="single" w:sz="8" w:space="0" w:color="auto"/>
            </w:tcBorders>
            <w:noWrap/>
            <w:vAlign w:val="center"/>
          </w:tcPr>
          <w:p w:rsidR="00F12A8E" w:rsidRPr="00B07EDA" w:rsidRDefault="00F12A8E" w:rsidP="006645E2">
            <w:pPr>
              <w:widowControl w:val="0"/>
              <w:tabs>
                <w:tab w:val="left" w:pos="3960"/>
              </w:tabs>
              <w:rPr>
                <w:b/>
                <w:bCs/>
                <w:sz w:val="22"/>
                <w:szCs w:val="22"/>
              </w:rPr>
            </w:pPr>
            <w:r w:rsidRPr="003878E0">
              <w:rPr>
                <w:b/>
                <w:bCs/>
                <w:sz w:val="22"/>
                <w:szCs w:val="22"/>
              </w:rPr>
              <w:t>Difference in CAISO designations from previous year</w:t>
            </w:r>
          </w:p>
        </w:tc>
        <w:tc>
          <w:tcPr>
            <w:tcW w:w="852" w:type="dxa"/>
            <w:tcBorders>
              <w:top w:val="nil"/>
              <w:left w:val="nil"/>
              <w:bottom w:val="single" w:sz="8" w:space="0" w:color="auto"/>
              <w:right w:val="single" w:sz="8" w:space="0" w:color="auto"/>
            </w:tcBorders>
            <w:noWrap/>
            <w:vAlign w:val="center"/>
          </w:tcPr>
          <w:p w:rsidR="00F12A8E" w:rsidRPr="00B07EDA" w:rsidRDefault="003878E0" w:rsidP="003878E0">
            <w:pPr>
              <w:widowControl w:val="0"/>
              <w:rPr>
                <w:b/>
                <w:bCs/>
                <w:sz w:val="22"/>
                <w:szCs w:val="22"/>
              </w:rPr>
            </w:pPr>
            <w:r w:rsidRPr="00B07EDA">
              <w:rPr>
                <w:b/>
                <w:bCs/>
                <w:sz w:val="22"/>
                <w:szCs w:val="22"/>
              </w:rPr>
              <w:t>(</w:t>
            </w:r>
            <w:r w:rsidR="00F12A8E" w:rsidRPr="00B07EDA">
              <w:rPr>
                <w:b/>
                <w:bCs/>
                <w:sz w:val="22"/>
                <w:szCs w:val="22"/>
              </w:rPr>
              <w:t>544</w:t>
            </w:r>
            <w:r w:rsidRPr="00B07EDA">
              <w:rPr>
                <w:b/>
                <w:bCs/>
                <w:sz w:val="22"/>
                <w:szCs w:val="22"/>
              </w:rPr>
              <w:t>)</w:t>
            </w:r>
          </w:p>
        </w:tc>
        <w:tc>
          <w:tcPr>
            <w:tcW w:w="644" w:type="dxa"/>
            <w:tcBorders>
              <w:top w:val="nil"/>
              <w:left w:val="nil"/>
              <w:bottom w:val="single" w:sz="8" w:space="0" w:color="auto"/>
              <w:right w:val="single" w:sz="8" w:space="0" w:color="auto"/>
            </w:tcBorders>
            <w:noWrap/>
            <w:vAlign w:val="center"/>
          </w:tcPr>
          <w:p w:rsidR="00F12A8E" w:rsidRPr="00B07EDA" w:rsidRDefault="00F12A8E" w:rsidP="006645E2">
            <w:pPr>
              <w:widowControl w:val="0"/>
              <w:rPr>
                <w:b/>
                <w:bCs/>
                <w:sz w:val="22"/>
                <w:szCs w:val="22"/>
              </w:rPr>
            </w:pPr>
            <w:r w:rsidRPr="00B07EDA">
              <w:rPr>
                <w:b/>
                <w:bCs/>
                <w:sz w:val="22"/>
                <w:szCs w:val="22"/>
              </w:rPr>
              <w:t>0</w:t>
            </w:r>
          </w:p>
        </w:tc>
        <w:tc>
          <w:tcPr>
            <w:tcW w:w="999" w:type="dxa"/>
            <w:tcBorders>
              <w:top w:val="nil"/>
              <w:left w:val="nil"/>
              <w:bottom w:val="single" w:sz="8" w:space="0" w:color="auto"/>
              <w:right w:val="single" w:sz="8" w:space="0" w:color="auto"/>
            </w:tcBorders>
            <w:noWrap/>
            <w:vAlign w:val="center"/>
          </w:tcPr>
          <w:p w:rsidR="00F12A8E" w:rsidRPr="00B07EDA" w:rsidRDefault="003878E0" w:rsidP="006645E2">
            <w:pPr>
              <w:widowControl w:val="0"/>
              <w:rPr>
                <w:b/>
                <w:bCs/>
                <w:sz w:val="22"/>
                <w:szCs w:val="22"/>
              </w:rPr>
            </w:pPr>
            <w:r w:rsidRPr="00B07EDA">
              <w:rPr>
                <w:b/>
                <w:bCs/>
                <w:sz w:val="22"/>
                <w:szCs w:val="22"/>
              </w:rPr>
              <w:t>(</w:t>
            </w:r>
            <w:r w:rsidR="00F12A8E" w:rsidRPr="00B07EDA">
              <w:rPr>
                <w:b/>
                <w:bCs/>
                <w:sz w:val="22"/>
                <w:szCs w:val="22"/>
              </w:rPr>
              <w:t>311</w:t>
            </w:r>
            <w:r w:rsidRPr="00B07EDA">
              <w:rPr>
                <w:b/>
                <w:bCs/>
                <w:sz w:val="22"/>
                <w:szCs w:val="22"/>
              </w:rPr>
              <w:t>)</w:t>
            </w:r>
          </w:p>
        </w:tc>
        <w:tc>
          <w:tcPr>
            <w:tcW w:w="946" w:type="dxa"/>
            <w:tcBorders>
              <w:top w:val="nil"/>
              <w:left w:val="nil"/>
              <w:bottom w:val="single" w:sz="8" w:space="0" w:color="auto"/>
              <w:right w:val="single" w:sz="8" w:space="0" w:color="auto"/>
            </w:tcBorders>
            <w:noWrap/>
            <w:vAlign w:val="center"/>
          </w:tcPr>
          <w:p w:rsidR="00F12A8E" w:rsidRPr="00B07EDA" w:rsidRDefault="003878E0" w:rsidP="00B07EDA">
            <w:pPr>
              <w:widowControl w:val="0"/>
              <w:jc w:val="center"/>
              <w:rPr>
                <w:b/>
                <w:bCs/>
                <w:sz w:val="22"/>
                <w:szCs w:val="22"/>
              </w:rPr>
            </w:pPr>
            <w:r w:rsidRPr="00B07EDA">
              <w:rPr>
                <w:b/>
                <w:bCs/>
                <w:sz w:val="22"/>
                <w:szCs w:val="22"/>
              </w:rPr>
              <w:t>(</w:t>
            </w:r>
            <w:r w:rsidR="00F12A8E" w:rsidRPr="00B07EDA">
              <w:rPr>
                <w:b/>
                <w:bCs/>
                <w:sz w:val="22"/>
                <w:szCs w:val="22"/>
              </w:rPr>
              <w:t>855</w:t>
            </w:r>
            <w:r w:rsidRPr="00B07EDA">
              <w:rPr>
                <w:b/>
                <w:bCs/>
                <w:sz w:val="22"/>
                <w:szCs w:val="22"/>
              </w:rPr>
              <w:t>)</w:t>
            </w:r>
          </w:p>
        </w:tc>
      </w:tr>
    </w:tbl>
    <w:p w:rsidR="00AE7D50" w:rsidRDefault="00AE7D50" w:rsidP="006645E2">
      <w:pPr>
        <w:widowControl w:val="0"/>
        <w:tabs>
          <w:tab w:val="left" w:pos="3960"/>
        </w:tabs>
        <w:spacing w:before="120"/>
        <w:rPr>
          <w:sz w:val="18"/>
          <w:szCs w:val="18"/>
        </w:rPr>
      </w:pPr>
      <w:r w:rsidRPr="00AD151D">
        <w:rPr>
          <w:sz w:val="18"/>
          <w:szCs w:val="18"/>
        </w:rPr>
        <w:t>Source: CAISO Board of governors meetings for 10/29/08, and 10/21/09</w:t>
      </w:r>
      <w:r w:rsidR="00E657F3">
        <w:rPr>
          <w:sz w:val="18"/>
          <w:szCs w:val="18"/>
        </w:rPr>
        <w:t xml:space="preserve">, and </w:t>
      </w:r>
      <w:r w:rsidR="008471FB">
        <w:rPr>
          <w:sz w:val="18"/>
          <w:szCs w:val="18"/>
        </w:rPr>
        <w:t>10/26/10</w:t>
      </w:r>
    </w:p>
    <w:p w:rsidR="00044E7C" w:rsidRPr="00AD151D" w:rsidRDefault="00044E7C" w:rsidP="006645E2">
      <w:pPr>
        <w:widowControl w:val="0"/>
        <w:tabs>
          <w:tab w:val="left" w:pos="3960"/>
        </w:tabs>
        <w:spacing w:before="120"/>
        <w:rPr>
          <w:sz w:val="18"/>
          <w:szCs w:val="18"/>
        </w:rPr>
      </w:pPr>
    </w:p>
    <w:p w:rsidR="00AE7D50" w:rsidRPr="00277DC8" w:rsidRDefault="00AE7D50" w:rsidP="006645E2">
      <w:pPr>
        <w:pStyle w:val="Heading2"/>
        <w:keepNext w:val="0"/>
        <w:widowControl w:val="0"/>
        <w:numPr>
          <w:ilvl w:val="1"/>
          <w:numId w:val="18"/>
        </w:numPr>
        <w:spacing w:before="120"/>
        <w:rPr>
          <w:i w:val="0"/>
        </w:rPr>
      </w:pPr>
      <w:bookmarkStart w:id="115" w:name="_Toc347827060"/>
      <w:r w:rsidRPr="00277DC8">
        <w:rPr>
          <w:i w:val="0"/>
        </w:rPr>
        <w:t>RA Contract Prices 20</w:t>
      </w:r>
      <w:r w:rsidR="001C5402" w:rsidRPr="00277DC8">
        <w:rPr>
          <w:i w:val="0"/>
        </w:rPr>
        <w:t>1</w:t>
      </w:r>
      <w:r w:rsidRPr="00277DC8">
        <w:rPr>
          <w:i w:val="0"/>
        </w:rPr>
        <w:t>0-201</w:t>
      </w:r>
      <w:r w:rsidR="001C5402" w:rsidRPr="00277DC8">
        <w:rPr>
          <w:i w:val="0"/>
        </w:rPr>
        <w:t>2</w:t>
      </w:r>
      <w:bookmarkEnd w:id="115"/>
    </w:p>
    <w:p w:rsidR="00630FCA" w:rsidRDefault="001C5402" w:rsidP="006645E2">
      <w:pPr>
        <w:widowControl w:val="0"/>
        <w:spacing w:before="120"/>
        <w:ind w:firstLine="576"/>
      </w:pPr>
      <w:r w:rsidRPr="00AD151D">
        <w:t xml:space="preserve">Energy Division staff requested data from all LSEs regarding prices paid for RA capacity.  This data request was sent to both IOUs and ESPs.  The Data request covered RA only capacity both </w:t>
      </w:r>
      <w:r w:rsidR="00630FCA">
        <w:t xml:space="preserve">bought and </w:t>
      </w:r>
      <w:r w:rsidRPr="00AD151D">
        <w:t>sold for every RA contract covering a</w:t>
      </w:r>
      <w:r w:rsidR="00630FCA">
        <w:t>ll</w:t>
      </w:r>
      <w:r w:rsidRPr="00AD151D">
        <w:t xml:space="preserve"> period</w:t>
      </w:r>
      <w:r w:rsidR="00630FCA">
        <w:t>s</w:t>
      </w:r>
      <w:r w:rsidRPr="00AD151D">
        <w:t xml:space="preserve"> of 2010 to 2012 compliance years.   The data request excluded Combined Heat and Power (CHP), Renewable Portfolio Standard (RPS) and Qualifying Facility (QF) contracts provided that those contracts are not easily comparable to contracts for conventional capacity. Tolling contracts were also excluded from the data request.  </w:t>
      </w:r>
    </w:p>
    <w:p w:rsidR="00630FCA" w:rsidRDefault="001C5402" w:rsidP="006645E2">
      <w:pPr>
        <w:widowControl w:val="0"/>
        <w:spacing w:before="120"/>
        <w:ind w:firstLine="576"/>
      </w:pPr>
      <w:r w:rsidRPr="00AD151D">
        <w:t xml:space="preserve">In addition to the data responses received in 2012, Energy Divisions staff included RA contracts from the 2011 data request that fell within the parameters of the 2012 data request.  This included an additional 83 contracts.  The purpose of this section is to present aggregated estimates drawn from the responses Energy Division received for the defined parameters.   </w:t>
      </w:r>
      <w:r w:rsidR="00630FCA">
        <w:t>Noting that t</w:t>
      </w:r>
      <w:r w:rsidRPr="00AD151D">
        <w:t xml:space="preserve">he data set used in this analysis is incomplete </w:t>
      </w:r>
      <w:r w:rsidR="00630FCA">
        <w:t xml:space="preserve">because </w:t>
      </w:r>
      <w:r w:rsidR="00B414BC" w:rsidRPr="00AD151D">
        <w:t>only two out of 13 ESPs</w:t>
      </w:r>
      <w:r w:rsidR="00630FCA">
        <w:t xml:space="preserve"> responded to the data request</w:t>
      </w:r>
      <w:r w:rsidR="00B414BC" w:rsidRPr="00AD151D">
        <w:t>, and the completeness of those responses have</w:t>
      </w:r>
      <w:r w:rsidRPr="00AD151D">
        <w:t xml:space="preserve"> not been verified.  </w:t>
      </w:r>
    </w:p>
    <w:p w:rsidR="001C5402" w:rsidRPr="00AD151D" w:rsidRDefault="00630FCA" w:rsidP="006645E2">
      <w:pPr>
        <w:widowControl w:val="0"/>
        <w:spacing w:before="120"/>
        <w:ind w:firstLine="576"/>
      </w:pPr>
      <w:r>
        <w:t>Therefore, t</w:t>
      </w:r>
      <w:r w:rsidR="001C5402" w:rsidRPr="00AD151D">
        <w:t xml:space="preserve">o increase the completeness of the data, energy division staff included the data responses from the 2011 data request that fit the parameters of the 2012 data request (these were not duplicative).  By including this data it increased the total number of contracts used in analysis by 83.  A total of 450 contracts with an aggregate of 36,788 MW </w:t>
      </w:r>
      <w:r w:rsidR="00B414BC" w:rsidRPr="00AD151D">
        <w:t>were</w:t>
      </w:r>
      <w:r w:rsidR="001C5402" w:rsidRPr="00AD151D">
        <w:t xml:space="preserve"> analyzed as part of this data set.  This included capacity prices for 10,840 MW of capacity effective in August 2011, which is 22.6 percent of the total CPUC jurisdictional RA obligation of 47,866 MW for that month.  </w:t>
      </w:r>
    </w:p>
    <w:p w:rsidR="00630FCA" w:rsidRDefault="001C5402" w:rsidP="001C5402">
      <w:pPr>
        <w:spacing w:before="120"/>
        <w:ind w:firstLine="576"/>
      </w:pPr>
      <w:r w:rsidRPr="00AD151D">
        <w:t>These contracts include those that began delivery as early as 2006 and end delivery as late as 2016.  The data set includes RA capacity only contracts</w:t>
      </w:r>
      <w:r w:rsidR="00B07EDA">
        <w:t>;</w:t>
      </w:r>
      <w:r w:rsidR="00B07EDA" w:rsidRPr="00AD151D">
        <w:t xml:space="preserve"> </w:t>
      </w:r>
      <w:r w:rsidR="00630FCA">
        <w:t xml:space="preserve">to prevent distortion of prices the </w:t>
      </w:r>
      <w:r w:rsidRPr="00AD151D">
        <w:t xml:space="preserve">contracts that include energy have not been included in the data analysis. </w:t>
      </w:r>
      <w:r w:rsidRPr="00AD151D">
        <w:lastRenderedPageBreak/>
        <w:t>Energy Division staff sought to analyze contracts entered into particularly for RA compliance purposes</w:t>
      </w:r>
      <w:r w:rsidR="00B07EDA">
        <w:t xml:space="preserve"> delivering during the </w:t>
      </w:r>
      <w:r w:rsidRPr="00AD151D">
        <w:t xml:space="preserve">2010-2012 compliance period.  </w:t>
      </w:r>
    </w:p>
    <w:p w:rsidR="001C5402" w:rsidRPr="00AD151D" w:rsidRDefault="00630FCA" w:rsidP="001C5402">
      <w:pPr>
        <w:spacing w:before="120"/>
        <w:ind w:firstLine="576"/>
      </w:pPr>
      <w:r>
        <w:t xml:space="preserve">To that end </w:t>
      </w:r>
      <w:r w:rsidR="001C5402" w:rsidRPr="00AD151D">
        <w:t xml:space="preserve">Energy Division staff sorted contracts into a variety of categories, and performed statistical analysis of each category.  </w:t>
      </w:r>
      <w:r>
        <w:t>For example, t</w:t>
      </w:r>
      <w:r w:rsidR="001C5402" w:rsidRPr="00AD151D">
        <w:t xml:space="preserve">he System only category includes only contracts with units located outside of Local Areas.  NP26 and SP26 Local categories include all contracts with facilities located in Local Areas, regardless of what type of contract the LSE signed with the facilities.  In short, Local and System are differentiated by unit location, not LSE contractual terms.  In some cases, single contracts that pay different prices each year of the contract were split into separate contracts for purposes of this analysis.  </w:t>
      </w:r>
      <w:r w:rsidR="001D266C">
        <w:fldChar w:fldCharType="begin"/>
      </w:r>
      <w:r w:rsidR="001D266C">
        <w:instrText xml:space="preserve"> REF _Ref289255219 \h </w:instrText>
      </w:r>
      <w:r w:rsidR="001D266C">
        <w:fldChar w:fldCharType="separate"/>
      </w:r>
      <w:r w:rsidR="00B3535E" w:rsidRPr="00AD151D">
        <w:t xml:space="preserve">Table </w:t>
      </w:r>
      <w:r w:rsidR="00B3535E">
        <w:rPr>
          <w:noProof/>
        </w:rPr>
        <w:t>15</w:t>
      </w:r>
      <w:r w:rsidR="001D266C">
        <w:fldChar w:fldCharType="end"/>
      </w:r>
      <w:r w:rsidR="001D266C">
        <w:t xml:space="preserve"> </w:t>
      </w:r>
      <w:r w:rsidR="001C5402" w:rsidRPr="00AD151D">
        <w:t xml:space="preserve">below presents summary statistics from this analysis. All prices represent nominal dollars in kw/month. </w:t>
      </w:r>
    </w:p>
    <w:p w:rsidR="001C5402" w:rsidRPr="00AD151D" w:rsidRDefault="001C5402" w:rsidP="001C5402">
      <w:pPr>
        <w:spacing w:before="120"/>
        <w:ind w:firstLine="576"/>
      </w:pPr>
      <w:r w:rsidRPr="00AD151D">
        <w:t xml:space="preserve">In addition to the analysis done on RA price by zone and local area, Energy division staff looked at the correlation between the length (in months) of the contract and the price of the contract as well as the correlation between the price and MW size of contract. The correlation between these variables showed a weak relationship that was </w:t>
      </w:r>
      <w:r w:rsidR="00630FCA">
        <w:t xml:space="preserve">considered </w:t>
      </w:r>
      <w:r w:rsidRPr="00AD151D">
        <w:t xml:space="preserve">statistically insignificant.  </w:t>
      </w:r>
    </w:p>
    <w:p w:rsidR="00AE7D50" w:rsidRPr="00AD151D" w:rsidRDefault="001C5402" w:rsidP="001C5402">
      <w:pPr>
        <w:spacing w:before="120"/>
        <w:ind w:firstLine="576"/>
      </w:pPr>
      <w:r w:rsidRPr="00AD151D">
        <w:t xml:space="preserve">The table below shows that Capacity contracts in the south were more expensive than contracts in the north. However, contracts in local areas in the north were significantly more expensive than local areas in the south.  By examining the 85th percentile and seeing that it is about double the median of these categories, it also appears that several categories are significantly skewed, meaning a weighted average analysis </w:t>
      </w:r>
      <w:r w:rsidR="001D266C">
        <w:t xml:space="preserve">could </w:t>
      </w:r>
      <w:r w:rsidR="00BB2D00">
        <w:t>be</w:t>
      </w:r>
      <w:r w:rsidRPr="00AD151D">
        <w:t xml:space="preserve"> </w:t>
      </w:r>
      <w:r w:rsidR="001D266C">
        <w:t>misleading</w:t>
      </w:r>
      <w:r w:rsidRPr="00AD151D">
        <w:t>.</w:t>
      </w:r>
      <w:r w:rsidR="00AE7D50" w:rsidRPr="00AD151D">
        <w:t xml:space="preserve">  </w:t>
      </w:r>
    </w:p>
    <w:p w:rsidR="00DE6175" w:rsidRPr="00AD151D" w:rsidRDefault="00DE6175" w:rsidP="00DE6175">
      <w:pPr>
        <w:pStyle w:val="Caption"/>
        <w:keepNext/>
        <w:keepLines/>
        <w:spacing w:before="120"/>
      </w:pPr>
      <w:bookmarkStart w:id="116" w:name="_Ref289255219"/>
      <w:bookmarkStart w:id="117" w:name="_Toc347827085"/>
      <w:r w:rsidRPr="00AD151D">
        <w:t xml:space="preserve">Table </w:t>
      </w:r>
      <w:r w:rsidR="00B3535E">
        <w:fldChar w:fldCharType="begin"/>
      </w:r>
      <w:r w:rsidR="00B3535E">
        <w:instrText xml:space="preserve"> SEQ Table \* ARABIC </w:instrText>
      </w:r>
      <w:r w:rsidR="00B3535E">
        <w:fldChar w:fldCharType="separate"/>
      </w:r>
      <w:r w:rsidR="00B3535E">
        <w:rPr>
          <w:noProof/>
        </w:rPr>
        <w:t>15</w:t>
      </w:r>
      <w:r w:rsidR="00B3535E">
        <w:rPr>
          <w:noProof/>
        </w:rPr>
        <w:fldChar w:fldCharType="end"/>
      </w:r>
      <w:bookmarkEnd w:id="116"/>
      <w:r w:rsidRPr="00AD151D">
        <w:t xml:space="preserve"> Summary statistics of RA Prices by category</w:t>
      </w:r>
      <w:bookmarkEnd w:id="117"/>
    </w:p>
    <w:tbl>
      <w:tblPr>
        <w:tblW w:w="0" w:type="auto"/>
        <w:tblInd w:w="103" w:type="dxa"/>
        <w:tblLayout w:type="fixed"/>
        <w:tblLook w:val="04A0" w:firstRow="1" w:lastRow="0" w:firstColumn="1" w:lastColumn="0" w:noHBand="0" w:noVBand="1"/>
      </w:tblPr>
      <w:tblGrid>
        <w:gridCol w:w="1265"/>
        <w:gridCol w:w="900"/>
        <w:gridCol w:w="810"/>
        <w:gridCol w:w="985"/>
        <w:gridCol w:w="905"/>
        <w:gridCol w:w="1027"/>
        <w:gridCol w:w="863"/>
        <w:gridCol w:w="1260"/>
      </w:tblGrid>
      <w:tr w:rsidR="00DE6175" w:rsidRPr="00AD151D" w:rsidTr="006645E2">
        <w:trPr>
          <w:trHeight w:val="344"/>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175" w:rsidRPr="00AD151D" w:rsidRDefault="00DE6175" w:rsidP="00B93B61">
            <w:pPr>
              <w:jc w:val="center"/>
              <w:rPr>
                <w:rFonts w:ascii="Arial" w:hAnsi="Arial" w:cs="Arial"/>
                <w:b/>
                <w:sz w:val="16"/>
                <w:szCs w:val="16"/>
              </w:rPr>
            </w:pPr>
            <w:r w:rsidRPr="00AD151D">
              <w:rPr>
                <w:rFonts w:ascii="Arial" w:hAnsi="Arial" w:cs="Arial"/>
                <w:b/>
                <w:sz w:val="16"/>
                <w:szCs w:val="16"/>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DE6175" w:rsidRPr="00AD151D" w:rsidRDefault="00DE6175" w:rsidP="006645E2">
            <w:pPr>
              <w:jc w:val="center"/>
              <w:rPr>
                <w:rFonts w:ascii="Arial" w:hAnsi="Arial" w:cs="Arial"/>
                <w:b/>
                <w:sz w:val="16"/>
                <w:szCs w:val="16"/>
              </w:rPr>
            </w:pPr>
            <w:r w:rsidRPr="00AD151D">
              <w:rPr>
                <w:rFonts w:ascii="Arial" w:hAnsi="Arial" w:cs="Arial"/>
                <w:b/>
                <w:sz w:val="16"/>
                <w:szCs w:val="16"/>
              </w:rPr>
              <w:t>RA/ Capacity only</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DE6175" w:rsidRPr="00AD151D" w:rsidRDefault="00DE6175" w:rsidP="006645E2">
            <w:pPr>
              <w:jc w:val="center"/>
              <w:rPr>
                <w:rFonts w:ascii="Arial" w:hAnsi="Arial" w:cs="Arial"/>
                <w:b/>
                <w:sz w:val="16"/>
                <w:szCs w:val="16"/>
              </w:rPr>
            </w:pPr>
            <w:r w:rsidRPr="00AD151D">
              <w:rPr>
                <w:rFonts w:ascii="Arial" w:hAnsi="Arial" w:cs="Arial"/>
                <w:b/>
                <w:sz w:val="16"/>
                <w:szCs w:val="16"/>
              </w:rPr>
              <w:t>NP26</w:t>
            </w:r>
          </w:p>
        </w:tc>
        <w:tc>
          <w:tcPr>
            <w:tcW w:w="985" w:type="dxa"/>
            <w:tcBorders>
              <w:top w:val="single" w:sz="4" w:space="0" w:color="auto"/>
              <w:left w:val="nil"/>
              <w:bottom w:val="single" w:sz="4" w:space="0" w:color="auto"/>
              <w:right w:val="single" w:sz="4" w:space="0" w:color="auto"/>
            </w:tcBorders>
            <w:shd w:val="clear" w:color="auto" w:fill="auto"/>
            <w:noWrap/>
            <w:vAlign w:val="bottom"/>
            <w:hideMark/>
          </w:tcPr>
          <w:p w:rsidR="00DE6175" w:rsidRPr="00AD151D" w:rsidRDefault="00DE6175" w:rsidP="006645E2">
            <w:pPr>
              <w:jc w:val="center"/>
              <w:rPr>
                <w:rFonts w:ascii="Arial" w:hAnsi="Arial" w:cs="Arial"/>
                <w:b/>
                <w:sz w:val="16"/>
                <w:szCs w:val="16"/>
              </w:rPr>
            </w:pPr>
            <w:r w:rsidRPr="00AD151D">
              <w:rPr>
                <w:rFonts w:ascii="Arial" w:hAnsi="Arial" w:cs="Arial"/>
                <w:b/>
                <w:sz w:val="16"/>
                <w:szCs w:val="16"/>
              </w:rPr>
              <w:t>SP26</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rsidR="00DE6175" w:rsidRPr="00AD151D" w:rsidRDefault="00DE6175" w:rsidP="006645E2">
            <w:pPr>
              <w:jc w:val="center"/>
              <w:rPr>
                <w:rFonts w:ascii="Arial" w:hAnsi="Arial" w:cs="Arial"/>
                <w:b/>
                <w:sz w:val="16"/>
                <w:szCs w:val="16"/>
              </w:rPr>
            </w:pPr>
            <w:r w:rsidRPr="00AD151D">
              <w:rPr>
                <w:rFonts w:ascii="Arial" w:hAnsi="Arial" w:cs="Arial"/>
                <w:b/>
                <w:sz w:val="16"/>
                <w:szCs w:val="16"/>
              </w:rPr>
              <w:t>CASIO System</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rsidR="00DE6175" w:rsidRPr="00AD151D" w:rsidRDefault="00DE6175" w:rsidP="006645E2">
            <w:pPr>
              <w:jc w:val="center"/>
              <w:rPr>
                <w:rFonts w:ascii="Arial" w:hAnsi="Arial" w:cs="Arial"/>
                <w:b/>
                <w:sz w:val="16"/>
                <w:szCs w:val="16"/>
              </w:rPr>
            </w:pPr>
            <w:r w:rsidRPr="00AD151D">
              <w:rPr>
                <w:rFonts w:ascii="Arial" w:hAnsi="Arial" w:cs="Arial"/>
                <w:b/>
                <w:sz w:val="16"/>
                <w:szCs w:val="16"/>
              </w:rPr>
              <w:t>Local</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rsidR="00DE6175" w:rsidRPr="00AD151D" w:rsidRDefault="00DE6175" w:rsidP="006645E2">
            <w:pPr>
              <w:jc w:val="center"/>
              <w:rPr>
                <w:rFonts w:ascii="Arial" w:hAnsi="Arial" w:cs="Arial"/>
                <w:b/>
                <w:sz w:val="16"/>
                <w:szCs w:val="16"/>
              </w:rPr>
            </w:pPr>
            <w:r w:rsidRPr="00AD151D">
              <w:rPr>
                <w:rFonts w:ascii="Arial" w:hAnsi="Arial" w:cs="Arial"/>
                <w:b/>
                <w:sz w:val="16"/>
                <w:szCs w:val="16"/>
              </w:rPr>
              <w:t>NP26 Local</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DE6175" w:rsidRPr="00AD151D" w:rsidRDefault="00DE6175" w:rsidP="006645E2">
            <w:pPr>
              <w:jc w:val="center"/>
              <w:rPr>
                <w:rFonts w:ascii="Arial" w:hAnsi="Arial" w:cs="Arial"/>
                <w:b/>
                <w:sz w:val="16"/>
                <w:szCs w:val="16"/>
              </w:rPr>
            </w:pPr>
            <w:r w:rsidRPr="00AD151D">
              <w:rPr>
                <w:rFonts w:ascii="Arial" w:hAnsi="Arial" w:cs="Arial"/>
                <w:b/>
                <w:sz w:val="16"/>
                <w:szCs w:val="16"/>
              </w:rPr>
              <w:t>SP26 Local</w:t>
            </w:r>
          </w:p>
        </w:tc>
      </w:tr>
      <w:tr w:rsidR="00DE6175" w:rsidRPr="00AD151D" w:rsidTr="006645E2">
        <w:trPr>
          <w:trHeight w:val="96"/>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DE6175" w:rsidRPr="00AD151D" w:rsidRDefault="00DE6175" w:rsidP="00B93B61">
            <w:pPr>
              <w:rPr>
                <w:rFonts w:ascii="Arial" w:hAnsi="Arial" w:cs="Arial"/>
                <w:b/>
                <w:sz w:val="16"/>
                <w:szCs w:val="16"/>
              </w:rPr>
            </w:pPr>
            <w:r w:rsidRPr="00AD151D">
              <w:rPr>
                <w:rFonts w:ascii="Arial" w:hAnsi="Arial" w:cs="Arial"/>
                <w:b/>
                <w:sz w:val="16"/>
                <w:szCs w:val="16"/>
              </w:rPr>
              <w:t>Median</w:t>
            </w:r>
          </w:p>
        </w:tc>
        <w:tc>
          <w:tcPr>
            <w:tcW w:w="900" w:type="dxa"/>
            <w:tcBorders>
              <w:top w:val="nil"/>
              <w:left w:val="nil"/>
              <w:bottom w:val="single" w:sz="4" w:space="0" w:color="auto"/>
              <w:right w:val="single" w:sz="4" w:space="0" w:color="auto"/>
            </w:tcBorders>
            <w:shd w:val="clear" w:color="auto" w:fill="auto"/>
            <w:noWrap/>
            <w:vAlign w:val="bottom"/>
            <w:hideMark/>
          </w:tcPr>
          <w:p w:rsidR="00DE6175" w:rsidRPr="00AD151D" w:rsidRDefault="00DE6175" w:rsidP="006645E2">
            <w:pPr>
              <w:jc w:val="center"/>
              <w:rPr>
                <w:rFonts w:ascii="Arial" w:hAnsi="Arial" w:cs="Arial"/>
                <w:sz w:val="16"/>
                <w:szCs w:val="16"/>
              </w:rPr>
            </w:pPr>
            <w:r w:rsidRPr="00AD151D">
              <w:rPr>
                <w:rFonts w:ascii="Arial" w:hAnsi="Arial" w:cs="Arial"/>
                <w:sz w:val="16"/>
                <w:szCs w:val="16"/>
              </w:rPr>
              <w:t>$2.20</w:t>
            </w:r>
          </w:p>
        </w:tc>
        <w:tc>
          <w:tcPr>
            <w:tcW w:w="810" w:type="dxa"/>
            <w:tcBorders>
              <w:top w:val="nil"/>
              <w:left w:val="nil"/>
              <w:bottom w:val="single" w:sz="4" w:space="0" w:color="auto"/>
              <w:right w:val="single" w:sz="4" w:space="0" w:color="auto"/>
            </w:tcBorders>
            <w:shd w:val="clear" w:color="auto" w:fill="auto"/>
            <w:noWrap/>
            <w:vAlign w:val="bottom"/>
            <w:hideMark/>
          </w:tcPr>
          <w:p w:rsidR="00DE6175" w:rsidRPr="00AD151D" w:rsidRDefault="00DE6175" w:rsidP="006645E2">
            <w:pPr>
              <w:jc w:val="center"/>
              <w:rPr>
                <w:rFonts w:ascii="Arial" w:hAnsi="Arial" w:cs="Arial"/>
                <w:sz w:val="16"/>
                <w:szCs w:val="16"/>
              </w:rPr>
            </w:pPr>
            <w:r w:rsidRPr="00AD151D">
              <w:rPr>
                <w:rFonts w:ascii="Arial" w:hAnsi="Arial" w:cs="Arial"/>
                <w:sz w:val="16"/>
                <w:szCs w:val="16"/>
              </w:rPr>
              <w:t>$2.00</w:t>
            </w:r>
          </w:p>
        </w:tc>
        <w:tc>
          <w:tcPr>
            <w:tcW w:w="985" w:type="dxa"/>
            <w:tcBorders>
              <w:top w:val="nil"/>
              <w:left w:val="nil"/>
              <w:bottom w:val="single" w:sz="4" w:space="0" w:color="auto"/>
              <w:right w:val="single" w:sz="4" w:space="0" w:color="auto"/>
            </w:tcBorders>
            <w:shd w:val="clear" w:color="auto" w:fill="auto"/>
            <w:noWrap/>
            <w:vAlign w:val="bottom"/>
            <w:hideMark/>
          </w:tcPr>
          <w:p w:rsidR="00DE6175" w:rsidRPr="00AD151D" w:rsidRDefault="00DE6175" w:rsidP="006645E2">
            <w:pPr>
              <w:jc w:val="center"/>
              <w:rPr>
                <w:rFonts w:ascii="Arial" w:hAnsi="Arial" w:cs="Arial"/>
                <w:sz w:val="16"/>
                <w:szCs w:val="16"/>
              </w:rPr>
            </w:pPr>
            <w:r w:rsidRPr="00AD151D">
              <w:rPr>
                <w:rFonts w:ascii="Arial" w:hAnsi="Arial" w:cs="Arial"/>
                <w:sz w:val="16"/>
                <w:szCs w:val="16"/>
              </w:rPr>
              <w:t>$2.25</w:t>
            </w:r>
          </w:p>
        </w:tc>
        <w:tc>
          <w:tcPr>
            <w:tcW w:w="905" w:type="dxa"/>
            <w:tcBorders>
              <w:top w:val="nil"/>
              <w:left w:val="nil"/>
              <w:bottom w:val="single" w:sz="4" w:space="0" w:color="auto"/>
              <w:right w:val="single" w:sz="4" w:space="0" w:color="auto"/>
            </w:tcBorders>
            <w:shd w:val="clear" w:color="auto" w:fill="auto"/>
            <w:noWrap/>
            <w:vAlign w:val="bottom"/>
            <w:hideMark/>
          </w:tcPr>
          <w:p w:rsidR="00DE6175" w:rsidRPr="00AD151D" w:rsidRDefault="00DE6175" w:rsidP="006645E2">
            <w:pPr>
              <w:jc w:val="center"/>
              <w:rPr>
                <w:rFonts w:ascii="Arial" w:hAnsi="Arial" w:cs="Arial"/>
                <w:sz w:val="16"/>
                <w:szCs w:val="16"/>
              </w:rPr>
            </w:pPr>
            <w:r w:rsidRPr="00AD151D">
              <w:rPr>
                <w:rFonts w:ascii="Arial" w:hAnsi="Arial" w:cs="Arial"/>
                <w:sz w:val="16"/>
                <w:szCs w:val="16"/>
              </w:rPr>
              <w:t>$1.65</w:t>
            </w:r>
          </w:p>
        </w:tc>
        <w:tc>
          <w:tcPr>
            <w:tcW w:w="1027" w:type="dxa"/>
            <w:tcBorders>
              <w:top w:val="nil"/>
              <w:left w:val="nil"/>
              <w:bottom w:val="single" w:sz="4" w:space="0" w:color="auto"/>
              <w:right w:val="single" w:sz="4" w:space="0" w:color="auto"/>
            </w:tcBorders>
            <w:shd w:val="clear" w:color="auto" w:fill="auto"/>
            <w:noWrap/>
            <w:vAlign w:val="bottom"/>
            <w:hideMark/>
          </w:tcPr>
          <w:p w:rsidR="00DE6175" w:rsidRPr="00AD151D" w:rsidRDefault="00DE6175" w:rsidP="006645E2">
            <w:pPr>
              <w:jc w:val="center"/>
              <w:rPr>
                <w:rFonts w:ascii="Arial" w:hAnsi="Arial" w:cs="Arial"/>
                <w:sz w:val="16"/>
                <w:szCs w:val="16"/>
              </w:rPr>
            </w:pPr>
            <w:r w:rsidRPr="00AD151D">
              <w:rPr>
                <w:rFonts w:ascii="Arial" w:hAnsi="Arial" w:cs="Arial"/>
                <w:sz w:val="16"/>
                <w:szCs w:val="16"/>
              </w:rPr>
              <w:t>$2.68</w:t>
            </w:r>
          </w:p>
        </w:tc>
        <w:tc>
          <w:tcPr>
            <w:tcW w:w="863" w:type="dxa"/>
            <w:tcBorders>
              <w:top w:val="nil"/>
              <w:left w:val="nil"/>
              <w:bottom w:val="single" w:sz="4" w:space="0" w:color="auto"/>
              <w:right w:val="single" w:sz="4" w:space="0" w:color="auto"/>
            </w:tcBorders>
            <w:shd w:val="clear" w:color="auto" w:fill="auto"/>
            <w:noWrap/>
            <w:vAlign w:val="bottom"/>
            <w:hideMark/>
          </w:tcPr>
          <w:p w:rsidR="00DE6175" w:rsidRPr="00AD151D" w:rsidRDefault="00DE6175" w:rsidP="006645E2">
            <w:pPr>
              <w:jc w:val="center"/>
              <w:rPr>
                <w:rFonts w:ascii="Arial" w:hAnsi="Arial" w:cs="Arial"/>
                <w:sz w:val="16"/>
                <w:szCs w:val="16"/>
              </w:rPr>
            </w:pPr>
            <w:r w:rsidRPr="00AD151D">
              <w:rPr>
                <w:rFonts w:ascii="Arial" w:hAnsi="Arial" w:cs="Arial"/>
                <w:sz w:val="16"/>
                <w:szCs w:val="16"/>
              </w:rPr>
              <w:t>$3.30</w:t>
            </w:r>
          </w:p>
        </w:tc>
        <w:tc>
          <w:tcPr>
            <w:tcW w:w="1260" w:type="dxa"/>
            <w:tcBorders>
              <w:top w:val="nil"/>
              <w:left w:val="nil"/>
              <w:bottom w:val="single" w:sz="4" w:space="0" w:color="auto"/>
              <w:right w:val="single" w:sz="4" w:space="0" w:color="auto"/>
            </w:tcBorders>
            <w:shd w:val="clear" w:color="auto" w:fill="auto"/>
            <w:noWrap/>
            <w:vAlign w:val="bottom"/>
            <w:hideMark/>
          </w:tcPr>
          <w:p w:rsidR="00DE6175" w:rsidRPr="00AD151D" w:rsidRDefault="00DE6175" w:rsidP="006645E2">
            <w:pPr>
              <w:jc w:val="center"/>
              <w:rPr>
                <w:rFonts w:ascii="Arial" w:hAnsi="Arial" w:cs="Arial"/>
                <w:sz w:val="16"/>
                <w:szCs w:val="16"/>
              </w:rPr>
            </w:pPr>
            <w:r w:rsidRPr="00AD151D">
              <w:rPr>
                <w:rFonts w:ascii="Arial" w:hAnsi="Arial" w:cs="Arial"/>
                <w:sz w:val="16"/>
                <w:szCs w:val="16"/>
              </w:rPr>
              <w:t>$2.50</w:t>
            </w:r>
          </w:p>
        </w:tc>
      </w:tr>
      <w:tr w:rsidR="00DE6175" w:rsidRPr="00AD151D" w:rsidTr="006645E2">
        <w:trPr>
          <w:trHeight w:val="107"/>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DE6175" w:rsidRPr="00AD151D" w:rsidRDefault="00DE6175" w:rsidP="00B93B61">
            <w:pPr>
              <w:rPr>
                <w:rFonts w:ascii="Arial" w:hAnsi="Arial" w:cs="Arial"/>
                <w:b/>
                <w:sz w:val="16"/>
                <w:szCs w:val="16"/>
              </w:rPr>
            </w:pPr>
            <w:r w:rsidRPr="00AD151D">
              <w:rPr>
                <w:rFonts w:ascii="Arial" w:hAnsi="Arial" w:cs="Arial"/>
                <w:b/>
                <w:sz w:val="16"/>
                <w:szCs w:val="16"/>
              </w:rPr>
              <w:t>85 percentile</w:t>
            </w:r>
          </w:p>
        </w:tc>
        <w:tc>
          <w:tcPr>
            <w:tcW w:w="900" w:type="dxa"/>
            <w:tcBorders>
              <w:top w:val="nil"/>
              <w:left w:val="nil"/>
              <w:bottom w:val="single" w:sz="4" w:space="0" w:color="auto"/>
              <w:right w:val="single" w:sz="4" w:space="0" w:color="auto"/>
            </w:tcBorders>
            <w:shd w:val="clear" w:color="auto" w:fill="auto"/>
            <w:noWrap/>
            <w:vAlign w:val="bottom"/>
            <w:hideMark/>
          </w:tcPr>
          <w:p w:rsidR="00DE6175" w:rsidRPr="00AD151D" w:rsidRDefault="00DE6175" w:rsidP="006645E2">
            <w:pPr>
              <w:jc w:val="center"/>
              <w:rPr>
                <w:rFonts w:ascii="Arial" w:hAnsi="Arial" w:cs="Arial"/>
                <w:sz w:val="16"/>
                <w:szCs w:val="16"/>
              </w:rPr>
            </w:pPr>
            <w:r w:rsidRPr="00AD151D">
              <w:rPr>
                <w:rFonts w:ascii="Arial" w:hAnsi="Arial" w:cs="Arial"/>
                <w:sz w:val="16"/>
                <w:szCs w:val="16"/>
              </w:rPr>
              <w:t>$4.00</w:t>
            </w:r>
          </w:p>
        </w:tc>
        <w:tc>
          <w:tcPr>
            <w:tcW w:w="810" w:type="dxa"/>
            <w:tcBorders>
              <w:top w:val="nil"/>
              <w:left w:val="nil"/>
              <w:bottom w:val="single" w:sz="4" w:space="0" w:color="auto"/>
              <w:right w:val="single" w:sz="4" w:space="0" w:color="auto"/>
            </w:tcBorders>
            <w:shd w:val="clear" w:color="auto" w:fill="auto"/>
            <w:noWrap/>
            <w:vAlign w:val="bottom"/>
            <w:hideMark/>
          </w:tcPr>
          <w:p w:rsidR="00DE6175" w:rsidRPr="00AD151D" w:rsidRDefault="00DE6175" w:rsidP="006645E2">
            <w:pPr>
              <w:jc w:val="center"/>
              <w:rPr>
                <w:rFonts w:ascii="Arial" w:hAnsi="Arial" w:cs="Arial"/>
                <w:sz w:val="16"/>
                <w:szCs w:val="16"/>
              </w:rPr>
            </w:pPr>
            <w:r w:rsidRPr="00AD151D">
              <w:rPr>
                <w:rFonts w:ascii="Arial" w:hAnsi="Arial" w:cs="Arial"/>
                <w:sz w:val="16"/>
                <w:szCs w:val="16"/>
              </w:rPr>
              <w:t>$4.00</w:t>
            </w:r>
          </w:p>
        </w:tc>
        <w:tc>
          <w:tcPr>
            <w:tcW w:w="985" w:type="dxa"/>
            <w:tcBorders>
              <w:top w:val="nil"/>
              <w:left w:val="nil"/>
              <w:bottom w:val="single" w:sz="4" w:space="0" w:color="auto"/>
              <w:right w:val="single" w:sz="4" w:space="0" w:color="auto"/>
            </w:tcBorders>
            <w:shd w:val="clear" w:color="auto" w:fill="auto"/>
            <w:noWrap/>
            <w:vAlign w:val="bottom"/>
            <w:hideMark/>
          </w:tcPr>
          <w:p w:rsidR="00DE6175" w:rsidRPr="00AD151D" w:rsidRDefault="00DE6175" w:rsidP="006645E2">
            <w:pPr>
              <w:jc w:val="center"/>
              <w:rPr>
                <w:rFonts w:ascii="Arial" w:hAnsi="Arial" w:cs="Arial"/>
                <w:sz w:val="16"/>
                <w:szCs w:val="16"/>
              </w:rPr>
            </w:pPr>
            <w:r w:rsidRPr="00AD151D">
              <w:rPr>
                <w:rFonts w:ascii="Arial" w:hAnsi="Arial" w:cs="Arial"/>
                <w:sz w:val="16"/>
                <w:szCs w:val="16"/>
              </w:rPr>
              <w:t>$4.23</w:t>
            </w:r>
          </w:p>
        </w:tc>
        <w:tc>
          <w:tcPr>
            <w:tcW w:w="905" w:type="dxa"/>
            <w:tcBorders>
              <w:top w:val="nil"/>
              <w:left w:val="nil"/>
              <w:bottom w:val="single" w:sz="4" w:space="0" w:color="auto"/>
              <w:right w:val="single" w:sz="4" w:space="0" w:color="auto"/>
            </w:tcBorders>
            <w:shd w:val="clear" w:color="auto" w:fill="auto"/>
            <w:noWrap/>
            <w:vAlign w:val="bottom"/>
            <w:hideMark/>
          </w:tcPr>
          <w:p w:rsidR="00DE6175" w:rsidRPr="00AD151D" w:rsidRDefault="00DE6175" w:rsidP="006645E2">
            <w:pPr>
              <w:jc w:val="center"/>
              <w:rPr>
                <w:rFonts w:ascii="Arial" w:hAnsi="Arial" w:cs="Arial"/>
                <w:sz w:val="16"/>
                <w:szCs w:val="16"/>
              </w:rPr>
            </w:pPr>
            <w:r w:rsidRPr="00AD151D">
              <w:rPr>
                <w:rFonts w:ascii="Arial" w:hAnsi="Arial" w:cs="Arial"/>
                <w:sz w:val="16"/>
                <w:szCs w:val="16"/>
              </w:rPr>
              <w:t>$3.27</w:t>
            </w:r>
          </w:p>
        </w:tc>
        <w:tc>
          <w:tcPr>
            <w:tcW w:w="1027" w:type="dxa"/>
            <w:tcBorders>
              <w:top w:val="nil"/>
              <w:left w:val="nil"/>
              <w:bottom w:val="single" w:sz="4" w:space="0" w:color="auto"/>
              <w:right w:val="single" w:sz="4" w:space="0" w:color="auto"/>
            </w:tcBorders>
            <w:shd w:val="clear" w:color="auto" w:fill="auto"/>
            <w:noWrap/>
            <w:vAlign w:val="bottom"/>
            <w:hideMark/>
          </w:tcPr>
          <w:p w:rsidR="00DE6175" w:rsidRPr="00AD151D" w:rsidRDefault="00DE6175" w:rsidP="006645E2">
            <w:pPr>
              <w:jc w:val="center"/>
              <w:rPr>
                <w:rFonts w:ascii="Arial" w:hAnsi="Arial" w:cs="Arial"/>
                <w:sz w:val="16"/>
                <w:szCs w:val="16"/>
              </w:rPr>
            </w:pPr>
            <w:r w:rsidRPr="00AD151D">
              <w:rPr>
                <w:rFonts w:ascii="Arial" w:hAnsi="Arial" w:cs="Arial"/>
                <w:sz w:val="16"/>
                <w:szCs w:val="16"/>
              </w:rPr>
              <w:t>$4.42</w:t>
            </w:r>
          </w:p>
        </w:tc>
        <w:tc>
          <w:tcPr>
            <w:tcW w:w="863" w:type="dxa"/>
            <w:tcBorders>
              <w:top w:val="nil"/>
              <w:left w:val="nil"/>
              <w:bottom w:val="single" w:sz="4" w:space="0" w:color="auto"/>
              <w:right w:val="single" w:sz="4" w:space="0" w:color="auto"/>
            </w:tcBorders>
            <w:shd w:val="clear" w:color="auto" w:fill="auto"/>
            <w:noWrap/>
            <w:vAlign w:val="bottom"/>
            <w:hideMark/>
          </w:tcPr>
          <w:p w:rsidR="00DE6175" w:rsidRPr="00AD151D" w:rsidRDefault="00DE6175" w:rsidP="006645E2">
            <w:pPr>
              <w:jc w:val="center"/>
              <w:rPr>
                <w:rFonts w:ascii="Arial" w:hAnsi="Arial" w:cs="Arial"/>
                <w:sz w:val="16"/>
                <w:szCs w:val="16"/>
              </w:rPr>
            </w:pPr>
            <w:r w:rsidRPr="00AD151D">
              <w:rPr>
                <w:rFonts w:ascii="Arial" w:hAnsi="Arial" w:cs="Arial"/>
                <w:sz w:val="16"/>
                <w:szCs w:val="16"/>
              </w:rPr>
              <w:t>$5.50</w:t>
            </w:r>
          </w:p>
        </w:tc>
        <w:tc>
          <w:tcPr>
            <w:tcW w:w="1260" w:type="dxa"/>
            <w:tcBorders>
              <w:top w:val="nil"/>
              <w:left w:val="nil"/>
              <w:bottom w:val="single" w:sz="4" w:space="0" w:color="auto"/>
              <w:right w:val="single" w:sz="4" w:space="0" w:color="auto"/>
            </w:tcBorders>
            <w:shd w:val="clear" w:color="auto" w:fill="auto"/>
            <w:noWrap/>
            <w:vAlign w:val="bottom"/>
            <w:hideMark/>
          </w:tcPr>
          <w:p w:rsidR="00DE6175" w:rsidRPr="00AD151D" w:rsidRDefault="00DE6175" w:rsidP="006645E2">
            <w:pPr>
              <w:jc w:val="center"/>
              <w:rPr>
                <w:rFonts w:ascii="Arial" w:hAnsi="Arial" w:cs="Arial"/>
                <w:sz w:val="16"/>
                <w:szCs w:val="16"/>
              </w:rPr>
            </w:pPr>
            <w:r w:rsidRPr="00AD151D">
              <w:rPr>
                <w:rFonts w:ascii="Arial" w:hAnsi="Arial" w:cs="Arial"/>
                <w:sz w:val="16"/>
                <w:szCs w:val="16"/>
              </w:rPr>
              <w:t>$4.25</w:t>
            </w:r>
          </w:p>
        </w:tc>
      </w:tr>
      <w:tr w:rsidR="00DE6175" w:rsidRPr="00AD151D" w:rsidTr="006645E2">
        <w:trPr>
          <w:trHeight w:val="98"/>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DE6175" w:rsidRPr="00AD151D" w:rsidRDefault="00DE6175" w:rsidP="00B93B61">
            <w:pPr>
              <w:rPr>
                <w:rFonts w:ascii="Arial" w:hAnsi="Arial" w:cs="Arial"/>
                <w:b/>
                <w:sz w:val="16"/>
                <w:szCs w:val="16"/>
              </w:rPr>
            </w:pPr>
            <w:r w:rsidRPr="00AD151D">
              <w:rPr>
                <w:rFonts w:ascii="Arial" w:hAnsi="Arial" w:cs="Arial"/>
                <w:b/>
                <w:sz w:val="16"/>
                <w:szCs w:val="16"/>
              </w:rPr>
              <w:t>Max</w:t>
            </w:r>
          </w:p>
        </w:tc>
        <w:tc>
          <w:tcPr>
            <w:tcW w:w="900" w:type="dxa"/>
            <w:tcBorders>
              <w:top w:val="nil"/>
              <w:left w:val="nil"/>
              <w:bottom w:val="single" w:sz="4" w:space="0" w:color="auto"/>
              <w:right w:val="single" w:sz="4" w:space="0" w:color="auto"/>
            </w:tcBorders>
            <w:shd w:val="clear" w:color="auto" w:fill="auto"/>
            <w:noWrap/>
            <w:vAlign w:val="bottom"/>
            <w:hideMark/>
          </w:tcPr>
          <w:p w:rsidR="00DE6175" w:rsidRPr="00AD151D" w:rsidRDefault="00DE6175" w:rsidP="006645E2">
            <w:pPr>
              <w:jc w:val="center"/>
              <w:rPr>
                <w:rFonts w:ascii="Arial" w:hAnsi="Arial" w:cs="Arial"/>
                <w:sz w:val="16"/>
                <w:szCs w:val="16"/>
              </w:rPr>
            </w:pPr>
            <w:r w:rsidRPr="00AD151D">
              <w:rPr>
                <w:rFonts w:ascii="Arial" w:hAnsi="Arial" w:cs="Arial"/>
                <w:sz w:val="16"/>
                <w:szCs w:val="16"/>
              </w:rPr>
              <w:t>$12.25</w:t>
            </w:r>
          </w:p>
        </w:tc>
        <w:tc>
          <w:tcPr>
            <w:tcW w:w="810" w:type="dxa"/>
            <w:tcBorders>
              <w:top w:val="nil"/>
              <w:left w:val="nil"/>
              <w:bottom w:val="single" w:sz="4" w:space="0" w:color="auto"/>
              <w:right w:val="single" w:sz="4" w:space="0" w:color="auto"/>
            </w:tcBorders>
            <w:shd w:val="clear" w:color="auto" w:fill="auto"/>
            <w:noWrap/>
            <w:vAlign w:val="bottom"/>
            <w:hideMark/>
          </w:tcPr>
          <w:p w:rsidR="00DE6175" w:rsidRPr="00AD151D" w:rsidRDefault="00DE6175" w:rsidP="006645E2">
            <w:pPr>
              <w:jc w:val="center"/>
              <w:rPr>
                <w:rFonts w:ascii="Arial" w:hAnsi="Arial" w:cs="Arial"/>
                <w:sz w:val="16"/>
                <w:szCs w:val="16"/>
              </w:rPr>
            </w:pPr>
            <w:r w:rsidRPr="00AD151D">
              <w:rPr>
                <w:rFonts w:ascii="Arial" w:hAnsi="Arial" w:cs="Arial"/>
                <w:sz w:val="16"/>
                <w:szCs w:val="16"/>
              </w:rPr>
              <w:t>$9.95</w:t>
            </w:r>
          </w:p>
        </w:tc>
        <w:tc>
          <w:tcPr>
            <w:tcW w:w="985" w:type="dxa"/>
            <w:tcBorders>
              <w:top w:val="nil"/>
              <w:left w:val="nil"/>
              <w:bottom w:val="single" w:sz="4" w:space="0" w:color="auto"/>
              <w:right w:val="single" w:sz="4" w:space="0" w:color="auto"/>
            </w:tcBorders>
            <w:shd w:val="clear" w:color="auto" w:fill="auto"/>
            <w:noWrap/>
            <w:vAlign w:val="bottom"/>
            <w:hideMark/>
          </w:tcPr>
          <w:p w:rsidR="00DE6175" w:rsidRPr="00AD151D" w:rsidRDefault="00DE6175" w:rsidP="006645E2">
            <w:pPr>
              <w:jc w:val="center"/>
              <w:rPr>
                <w:rFonts w:ascii="Arial" w:hAnsi="Arial" w:cs="Arial"/>
                <w:sz w:val="16"/>
                <w:szCs w:val="16"/>
              </w:rPr>
            </w:pPr>
            <w:r w:rsidRPr="00AD151D">
              <w:rPr>
                <w:rFonts w:ascii="Arial" w:hAnsi="Arial" w:cs="Arial"/>
                <w:sz w:val="16"/>
                <w:szCs w:val="16"/>
              </w:rPr>
              <w:t>$12.25</w:t>
            </w:r>
          </w:p>
        </w:tc>
        <w:tc>
          <w:tcPr>
            <w:tcW w:w="905" w:type="dxa"/>
            <w:tcBorders>
              <w:top w:val="nil"/>
              <w:left w:val="nil"/>
              <w:bottom w:val="single" w:sz="4" w:space="0" w:color="auto"/>
              <w:right w:val="single" w:sz="4" w:space="0" w:color="auto"/>
            </w:tcBorders>
            <w:shd w:val="clear" w:color="auto" w:fill="auto"/>
            <w:noWrap/>
            <w:vAlign w:val="bottom"/>
            <w:hideMark/>
          </w:tcPr>
          <w:p w:rsidR="00DE6175" w:rsidRPr="00AD151D" w:rsidRDefault="00DE6175" w:rsidP="006645E2">
            <w:pPr>
              <w:jc w:val="center"/>
              <w:rPr>
                <w:rFonts w:ascii="Arial" w:hAnsi="Arial" w:cs="Arial"/>
                <w:sz w:val="16"/>
                <w:szCs w:val="16"/>
              </w:rPr>
            </w:pPr>
            <w:r w:rsidRPr="00AD151D">
              <w:rPr>
                <w:rFonts w:ascii="Arial" w:hAnsi="Arial" w:cs="Arial"/>
                <w:sz w:val="16"/>
                <w:szCs w:val="16"/>
              </w:rPr>
              <w:t>$9.95</w:t>
            </w:r>
          </w:p>
        </w:tc>
        <w:tc>
          <w:tcPr>
            <w:tcW w:w="1027" w:type="dxa"/>
            <w:tcBorders>
              <w:top w:val="nil"/>
              <w:left w:val="nil"/>
              <w:bottom w:val="single" w:sz="4" w:space="0" w:color="auto"/>
              <w:right w:val="single" w:sz="4" w:space="0" w:color="auto"/>
            </w:tcBorders>
            <w:shd w:val="clear" w:color="auto" w:fill="auto"/>
            <w:noWrap/>
            <w:vAlign w:val="bottom"/>
            <w:hideMark/>
          </w:tcPr>
          <w:p w:rsidR="00DE6175" w:rsidRPr="00AD151D" w:rsidRDefault="00DE6175" w:rsidP="006645E2">
            <w:pPr>
              <w:jc w:val="center"/>
              <w:rPr>
                <w:rFonts w:ascii="Arial" w:hAnsi="Arial" w:cs="Arial"/>
                <w:sz w:val="16"/>
                <w:szCs w:val="16"/>
              </w:rPr>
            </w:pPr>
            <w:r w:rsidRPr="00AD151D">
              <w:rPr>
                <w:rFonts w:ascii="Arial" w:hAnsi="Arial" w:cs="Arial"/>
                <w:sz w:val="16"/>
                <w:szCs w:val="16"/>
              </w:rPr>
              <w:t>$12.25</w:t>
            </w:r>
          </w:p>
        </w:tc>
        <w:tc>
          <w:tcPr>
            <w:tcW w:w="863" w:type="dxa"/>
            <w:tcBorders>
              <w:top w:val="nil"/>
              <w:left w:val="nil"/>
              <w:bottom w:val="single" w:sz="4" w:space="0" w:color="auto"/>
              <w:right w:val="single" w:sz="4" w:space="0" w:color="auto"/>
            </w:tcBorders>
            <w:shd w:val="clear" w:color="auto" w:fill="auto"/>
            <w:noWrap/>
            <w:vAlign w:val="bottom"/>
            <w:hideMark/>
          </w:tcPr>
          <w:p w:rsidR="00DE6175" w:rsidRPr="00AD151D" w:rsidRDefault="00DE6175" w:rsidP="006645E2">
            <w:pPr>
              <w:jc w:val="center"/>
              <w:rPr>
                <w:rFonts w:ascii="Arial" w:hAnsi="Arial" w:cs="Arial"/>
                <w:sz w:val="16"/>
                <w:szCs w:val="16"/>
              </w:rPr>
            </w:pPr>
            <w:r w:rsidRPr="00AD151D">
              <w:rPr>
                <w:rFonts w:ascii="Arial" w:hAnsi="Arial" w:cs="Arial"/>
                <w:sz w:val="16"/>
                <w:szCs w:val="16"/>
              </w:rPr>
              <w:t>$9.00</w:t>
            </w:r>
          </w:p>
        </w:tc>
        <w:tc>
          <w:tcPr>
            <w:tcW w:w="1260" w:type="dxa"/>
            <w:tcBorders>
              <w:top w:val="nil"/>
              <w:left w:val="nil"/>
              <w:bottom w:val="single" w:sz="4" w:space="0" w:color="auto"/>
              <w:right w:val="single" w:sz="4" w:space="0" w:color="auto"/>
            </w:tcBorders>
            <w:shd w:val="clear" w:color="auto" w:fill="auto"/>
            <w:noWrap/>
            <w:vAlign w:val="bottom"/>
            <w:hideMark/>
          </w:tcPr>
          <w:p w:rsidR="00DE6175" w:rsidRPr="00AD151D" w:rsidRDefault="00DE6175" w:rsidP="006645E2">
            <w:pPr>
              <w:jc w:val="center"/>
              <w:rPr>
                <w:rFonts w:ascii="Arial" w:hAnsi="Arial" w:cs="Arial"/>
                <w:sz w:val="16"/>
                <w:szCs w:val="16"/>
              </w:rPr>
            </w:pPr>
            <w:r w:rsidRPr="00AD151D">
              <w:rPr>
                <w:rFonts w:ascii="Arial" w:hAnsi="Arial" w:cs="Arial"/>
                <w:sz w:val="16"/>
                <w:szCs w:val="16"/>
              </w:rPr>
              <w:t>$12.25</w:t>
            </w:r>
          </w:p>
        </w:tc>
      </w:tr>
      <w:tr w:rsidR="00DE6175" w:rsidRPr="00AD151D" w:rsidTr="006645E2">
        <w:trPr>
          <w:trHeight w:val="109"/>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DE6175" w:rsidRPr="00AD151D" w:rsidRDefault="00DE6175" w:rsidP="00B93B61">
            <w:pPr>
              <w:rPr>
                <w:rFonts w:ascii="Arial" w:hAnsi="Arial" w:cs="Arial"/>
                <w:b/>
                <w:sz w:val="16"/>
                <w:szCs w:val="16"/>
              </w:rPr>
            </w:pPr>
            <w:r w:rsidRPr="00AD151D">
              <w:rPr>
                <w:rFonts w:ascii="Arial" w:hAnsi="Arial" w:cs="Arial"/>
                <w:b/>
                <w:sz w:val="16"/>
                <w:szCs w:val="16"/>
              </w:rPr>
              <w:t>Number of contracts</w:t>
            </w:r>
          </w:p>
        </w:tc>
        <w:tc>
          <w:tcPr>
            <w:tcW w:w="900" w:type="dxa"/>
            <w:tcBorders>
              <w:top w:val="nil"/>
              <w:left w:val="nil"/>
              <w:bottom w:val="single" w:sz="4" w:space="0" w:color="auto"/>
              <w:right w:val="single" w:sz="4" w:space="0" w:color="auto"/>
            </w:tcBorders>
            <w:shd w:val="clear" w:color="auto" w:fill="auto"/>
            <w:noWrap/>
            <w:vAlign w:val="bottom"/>
            <w:hideMark/>
          </w:tcPr>
          <w:p w:rsidR="00DE6175" w:rsidRPr="00AD151D" w:rsidRDefault="00DE6175" w:rsidP="006645E2">
            <w:pPr>
              <w:jc w:val="center"/>
              <w:rPr>
                <w:rFonts w:ascii="Arial" w:hAnsi="Arial" w:cs="Arial"/>
                <w:sz w:val="16"/>
                <w:szCs w:val="16"/>
              </w:rPr>
            </w:pPr>
            <w:r w:rsidRPr="00AD151D">
              <w:rPr>
                <w:rFonts w:ascii="Arial" w:hAnsi="Arial" w:cs="Arial"/>
                <w:sz w:val="16"/>
                <w:szCs w:val="16"/>
              </w:rPr>
              <w:t>450</w:t>
            </w:r>
          </w:p>
        </w:tc>
        <w:tc>
          <w:tcPr>
            <w:tcW w:w="810" w:type="dxa"/>
            <w:tcBorders>
              <w:top w:val="nil"/>
              <w:left w:val="nil"/>
              <w:bottom w:val="single" w:sz="4" w:space="0" w:color="auto"/>
              <w:right w:val="single" w:sz="4" w:space="0" w:color="auto"/>
            </w:tcBorders>
            <w:shd w:val="clear" w:color="auto" w:fill="auto"/>
            <w:noWrap/>
            <w:vAlign w:val="bottom"/>
            <w:hideMark/>
          </w:tcPr>
          <w:p w:rsidR="00DE6175" w:rsidRPr="00AD151D" w:rsidRDefault="00DE6175" w:rsidP="006645E2">
            <w:pPr>
              <w:jc w:val="center"/>
              <w:rPr>
                <w:rFonts w:ascii="Arial" w:hAnsi="Arial" w:cs="Arial"/>
                <w:sz w:val="16"/>
                <w:szCs w:val="16"/>
              </w:rPr>
            </w:pPr>
            <w:r w:rsidRPr="00AD151D">
              <w:rPr>
                <w:rFonts w:ascii="Arial" w:hAnsi="Arial" w:cs="Arial"/>
                <w:sz w:val="16"/>
                <w:szCs w:val="16"/>
              </w:rPr>
              <w:t>157</w:t>
            </w:r>
          </w:p>
        </w:tc>
        <w:tc>
          <w:tcPr>
            <w:tcW w:w="985" w:type="dxa"/>
            <w:tcBorders>
              <w:top w:val="nil"/>
              <w:left w:val="nil"/>
              <w:bottom w:val="single" w:sz="4" w:space="0" w:color="auto"/>
              <w:right w:val="single" w:sz="4" w:space="0" w:color="auto"/>
            </w:tcBorders>
            <w:shd w:val="clear" w:color="auto" w:fill="auto"/>
            <w:noWrap/>
            <w:vAlign w:val="bottom"/>
            <w:hideMark/>
          </w:tcPr>
          <w:p w:rsidR="00DE6175" w:rsidRPr="00AD151D" w:rsidRDefault="00DE6175" w:rsidP="006645E2">
            <w:pPr>
              <w:jc w:val="center"/>
              <w:rPr>
                <w:rFonts w:ascii="Arial" w:hAnsi="Arial" w:cs="Arial"/>
                <w:sz w:val="16"/>
                <w:szCs w:val="16"/>
              </w:rPr>
            </w:pPr>
            <w:r w:rsidRPr="00AD151D">
              <w:rPr>
                <w:rFonts w:ascii="Arial" w:hAnsi="Arial" w:cs="Arial"/>
                <w:sz w:val="16"/>
                <w:szCs w:val="16"/>
              </w:rPr>
              <w:t>293</w:t>
            </w:r>
          </w:p>
        </w:tc>
        <w:tc>
          <w:tcPr>
            <w:tcW w:w="905" w:type="dxa"/>
            <w:tcBorders>
              <w:top w:val="nil"/>
              <w:left w:val="nil"/>
              <w:bottom w:val="single" w:sz="4" w:space="0" w:color="auto"/>
              <w:right w:val="single" w:sz="4" w:space="0" w:color="auto"/>
            </w:tcBorders>
            <w:shd w:val="clear" w:color="auto" w:fill="auto"/>
            <w:noWrap/>
            <w:vAlign w:val="bottom"/>
            <w:hideMark/>
          </w:tcPr>
          <w:p w:rsidR="00DE6175" w:rsidRPr="00AD151D" w:rsidRDefault="00DE6175" w:rsidP="006645E2">
            <w:pPr>
              <w:jc w:val="center"/>
              <w:rPr>
                <w:rFonts w:ascii="Arial" w:hAnsi="Arial" w:cs="Arial"/>
                <w:sz w:val="16"/>
                <w:szCs w:val="16"/>
              </w:rPr>
            </w:pPr>
            <w:r w:rsidRPr="00AD151D">
              <w:rPr>
                <w:rFonts w:ascii="Arial" w:hAnsi="Arial" w:cs="Arial"/>
                <w:sz w:val="16"/>
                <w:szCs w:val="16"/>
              </w:rPr>
              <w:t>140</w:t>
            </w:r>
          </w:p>
        </w:tc>
        <w:tc>
          <w:tcPr>
            <w:tcW w:w="1027" w:type="dxa"/>
            <w:tcBorders>
              <w:top w:val="nil"/>
              <w:left w:val="nil"/>
              <w:bottom w:val="single" w:sz="4" w:space="0" w:color="auto"/>
              <w:right w:val="single" w:sz="4" w:space="0" w:color="auto"/>
            </w:tcBorders>
            <w:shd w:val="clear" w:color="auto" w:fill="auto"/>
            <w:noWrap/>
            <w:vAlign w:val="bottom"/>
            <w:hideMark/>
          </w:tcPr>
          <w:p w:rsidR="00DE6175" w:rsidRPr="00AD151D" w:rsidRDefault="00DE6175" w:rsidP="006645E2">
            <w:pPr>
              <w:jc w:val="center"/>
              <w:rPr>
                <w:rFonts w:ascii="Arial" w:hAnsi="Arial" w:cs="Arial"/>
                <w:sz w:val="16"/>
                <w:szCs w:val="16"/>
              </w:rPr>
            </w:pPr>
            <w:r w:rsidRPr="00AD151D">
              <w:rPr>
                <w:rFonts w:ascii="Arial" w:hAnsi="Arial" w:cs="Arial"/>
                <w:sz w:val="16"/>
                <w:szCs w:val="16"/>
              </w:rPr>
              <w:t>300</w:t>
            </w:r>
          </w:p>
        </w:tc>
        <w:tc>
          <w:tcPr>
            <w:tcW w:w="863" w:type="dxa"/>
            <w:tcBorders>
              <w:top w:val="nil"/>
              <w:left w:val="nil"/>
              <w:bottom w:val="single" w:sz="4" w:space="0" w:color="auto"/>
              <w:right w:val="single" w:sz="4" w:space="0" w:color="auto"/>
            </w:tcBorders>
            <w:shd w:val="clear" w:color="auto" w:fill="auto"/>
            <w:noWrap/>
            <w:vAlign w:val="bottom"/>
            <w:hideMark/>
          </w:tcPr>
          <w:p w:rsidR="00DE6175" w:rsidRPr="00AD151D" w:rsidRDefault="00DE6175" w:rsidP="006645E2">
            <w:pPr>
              <w:jc w:val="center"/>
              <w:rPr>
                <w:rFonts w:ascii="Arial" w:hAnsi="Arial" w:cs="Arial"/>
                <w:sz w:val="16"/>
                <w:szCs w:val="16"/>
              </w:rPr>
            </w:pPr>
            <w:r w:rsidRPr="00AD151D">
              <w:rPr>
                <w:rFonts w:ascii="Arial" w:hAnsi="Arial" w:cs="Arial"/>
                <w:sz w:val="16"/>
                <w:szCs w:val="16"/>
              </w:rPr>
              <w:t>39</w:t>
            </w:r>
          </w:p>
        </w:tc>
        <w:tc>
          <w:tcPr>
            <w:tcW w:w="1260" w:type="dxa"/>
            <w:tcBorders>
              <w:top w:val="nil"/>
              <w:left w:val="nil"/>
              <w:bottom w:val="single" w:sz="4" w:space="0" w:color="auto"/>
              <w:right w:val="single" w:sz="4" w:space="0" w:color="auto"/>
            </w:tcBorders>
            <w:shd w:val="clear" w:color="auto" w:fill="auto"/>
            <w:noWrap/>
            <w:vAlign w:val="bottom"/>
            <w:hideMark/>
          </w:tcPr>
          <w:p w:rsidR="00DE6175" w:rsidRPr="00AD151D" w:rsidRDefault="00DE6175" w:rsidP="006645E2">
            <w:pPr>
              <w:jc w:val="center"/>
              <w:rPr>
                <w:rFonts w:ascii="Arial" w:hAnsi="Arial" w:cs="Arial"/>
                <w:sz w:val="16"/>
                <w:szCs w:val="16"/>
              </w:rPr>
            </w:pPr>
            <w:r w:rsidRPr="00AD151D">
              <w:rPr>
                <w:rFonts w:ascii="Arial" w:hAnsi="Arial" w:cs="Arial"/>
                <w:sz w:val="16"/>
                <w:szCs w:val="16"/>
              </w:rPr>
              <w:t>261</w:t>
            </w:r>
          </w:p>
        </w:tc>
      </w:tr>
    </w:tbl>
    <w:p w:rsidR="00DE6175" w:rsidRPr="00B07EDA" w:rsidRDefault="00DE6175" w:rsidP="00DE6175"/>
    <w:p w:rsidR="001D266C" w:rsidRPr="001D266C" w:rsidRDefault="00DE6175" w:rsidP="00277DC8">
      <w:r w:rsidRPr="00277DC8">
        <w:t xml:space="preserve">The figures below are price curves for RA only contracts in each category.  Price is represented in nominal dollars per kw/month for each contract.  Price is on the vertical axis and number of contracts in each category is on the horizontal axis.  </w:t>
      </w:r>
    </w:p>
    <w:p w:rsidR="00DE6175" w:rsidRPr="00AD151D" w:rsidRDefault="00350B99" w:rsidP="00586B1F">
      <w:pPr>
        <w:pStyle w:val="Caption"/>
        <w:keepNext/>
        <w:keepLines/>
        <w:spacing w:before="120"/>
      </w:pPr>
      <w:bookmarkStart w:id="118" w:name="_Toc347827092"/>
      <w:r w:rsidRPr="00AD151D">
        <w:lastRenderedPageBreak/>
        <w:t xml:space="preserve">Figure </w:t>
      </w:r>
      <w:r w:rsidR="00B3535E">
        <w:fldChar w:fldCharType="begin"/>
      </w:r>
      <w:r w:rsidR="00B3535E">
        <w:instrText xml:space="preserve"> SEQ Figure \* ARABIC </w:instrText>
      </w:r>
      <w:r w:rsidR="00B3535E">
        <w:fldChar w:fldCharType="separate"/>
      </w:r>
      <w:r w:rsidR="00B3535E">
        <w:rPr>
          <w:noProof/>
        </w:rPr>
        <w:t>3</w:t>
      </w:r>
      <w:r w:rsidR="00B3535E">
        <w:rPr>
          <w:noProof/>
        </w:rPr>
        <w:fldChar w:fldCharType="end"/>
      </w:r>
      <w:r w:rsidRPr="00AD151D">
        <w:t xml:space="preserve"> </w:t>
      </w:r>
      <w:r w:rsidR="00DE6175" w:rsidRPr="00AD151D">
        <w:t>Breakdown of prices paid for RA only contracts in data set</w:t>
      </w:r>
      <w:bookmarkEnd w:id="118"/>
    </w:p>
    <w:p w:rsidR="00BB596F" w:rsidRPr="00AD151D" w:rsidRDefault="002F5203" w:rsidP="00586B1F">
      <w:pPr>
        <w:keepNext/>
        <w:keepLines/>
        <w:spacing w:before="120"/>
        <w:rPr>
          <w:sz w:val="20"/>
          <w:szCs w:val="20"/>
        </w:rPr>
      </w:pPr>
      <w:r>
        <w:rPr>
          <w:noProof/>
          <w:sz w:val="20"/>
          <w:szCs w:val="20"/>
        </w:rPr>
        <w:drawing>
          <wp:inline distT="0" distB="0" distL="0" distR="0" wp14:anchorId="487998EB" wp14:editId="7BEC5499">
            <wp:extent cx="4899804" cy="266556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97810" cy="2664477"/>
                    </a:xfrm>
                    <a:prstGeom prst="rect">
                      <a:avLst/>
                    </a:prstGeom>
                    <a:noFill/>
                  </pic:spPr>
                </pic:pic>
              </a:graphicData>
            </a:graphic>
          </wp:inline>
        </w:drawing>
      </w:r>
    </w:p>
    <w:p w:rsidR="00DE6175" w:rsidRDefault="00DE6175" w:rsidP="00586B1F">
      <w:pPr>
        <w:keepNext/>
        <w:keepLines/>
        <w:spacing w:before="120"/>
        <w:rPr>
          <w:sz w:val="20"/>
          <w:szCs w:val="20"/>
        </w:rPr>
      </w:pPr>
      <w:r w:rsidRPr="00AD151D">
        <w:rPr>
          <w:sz w:val="20"/>
          <w:szCs w:val="20"/>
        </w:rPr>
        <w:t>Source: 2012 Energy Division survey of IOUs and ESPs, September 2012</w:t>
      </w:r>
    </w:p>
    <w:p w:rsidR="00044E7C" w:rsidRDefault="00044E7C" w:rsidP="00075EA6">
      <w:pPr>
        <w:widowControl w:val="0"/>
        <w:spacing w:before="120"/>
        <w:rPr>
          <w:sz w:val="20"/>
          <w:szCs w:val="20"/>
        </w:rPr>
      </w:pPr>
    </w:p>
    <w:p w:rsidR="00DE6175" w:rsidRPr="00AD151D" w:rsidRDefault="00DE6175" w:rsidP="00075EA6">
      <w:pPr>
        <w:pStyle w:val="Caption"/>
        <w:keepNext/>
        <w:keepLines/>
        <w:spacing w:before="120"/>
      </w:pPr>
      <w:bookmarkStart w:id="119" w:name="_Ref347420917"/>
      <w:bookmarkStart w:id="120" w:name="_Toc347827093"/>
      <w:r w:rsidRPr="00AD151D">
        <w:t xml:space="preserve">Figure </w:t>
      </w:r>
      <w:r w:rsidR="00B3535E">
        <w:fldChar w:fldCharType="begin"/>
      </w:r>
      <w:r w:rsidR="00B3535E">
        <w:instrText xml:space="preserve"> SEQ Figure \* ARABIC </w:instrText>
      </w:r>
      <w:r w:rsidR="00B3535E">
        <w:fldChar w:fldCharType="separate"/>
      </w:r>
      <w:r w:rsidR="00B3535E">
        <w:rPr>
          <w:noProof/>
        </w:rPr>
        <w:t>4</w:t>
      </w:r>
      <w:r w:rsidR="00B3535E">
        <w:rPr>
          <w:noProof/>
        </w:rPr>
        <w:fldChar w:fldCharType="end"/>
      </w:r>
      <w:r w:rsidRPr="00AD151D">
        <w:t xml:space="preserve"> Breakdown of prices paid for RA only contracts with System Resources</w:t>
      </w:r>
      <w:bookmarkEnd w:id="119"/>
      <w:bookmarkEnd w:id="120"/>
    </w:p>
    <w:p w:rsidR="00DE6175" w:rsidRPr="00AD151D" w:rsidRDefault="002F5203" w:rsidP="00075EA6">
      <w:pPr>
        <w:keepNext/>
        <w:keepLines/>
        <w:spacing w:before="120"/>
      </w:pPr>
      <w:r>
        <w:rPr>
          <w:noProof/>
        </w:rPr>
        <w:drawing>
          <wp:inline distT="0" distB="0" distL="0" distR="0" wp14:anchorId="178370D6" wp14:editId="288C7C56">
            <wp:extent cx="4716780" cy="275082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16780" cy="2750820"/>
                    </a:xfrm>
                    <a:prstGeom prst="rect">
                      <a:avLst/>
                    </a:prstGeom>
                    <a:noFill/>
                  </pic:spPr>
                </pic:pic>
              </a:graphicData>
            </a:graphic>
          </wp:inline>
        </w:drawing>
      </w:r>
    </w:p>
    <w:p w:rsidR="00DE6175" w:rsidRPr="00AD151D" w:rsidRDefault="00DE6175" w:rsidP="00075EA6">
      <w:pPr>
        <w:keepNext/>
        <w:keepLines/>
        <w:spacing w:before="120"/>
        <w:rPr>
          <w:sz w:val="20"/>
          <w:szCs w:val="20"/>
        </w:rPr>
      </w:pPr>
      <w:r w:rsidRPr="00AD151D">
        <w:rPr>
          <w:sz w:val="20"/>
          <w:szCs w:val="20"/>
        </w:rPr>
        <w:t>Source: 2012 Energy Division survey of IOUs and ESPs, September 2012</w:t>
      </w:r>
    </w:p>
    <w:p w:rsidR="00DE6175" w:rsidRPr="00AD151D" w:rsidRDefault="00DE6175" w:rsidP="00DE6175">
      <w:pPr>
        <w:widowControl w:val="0"/>
        <w:spacing w:before="120"/>
      </w:pPr>
    </w:p>
    <w:p w:rsidR="00DE6175" w:rsidRPr="00AD151D" w:rsidRDefault="00DE6175" w:rsidP="00075EA6">
      <w:pPr>
        <w:pStyle w:val="Caption"/>
        <w:keepNext/>
        <w:keepLines/>
        <w:spacing w:before="120"/>
      </w:pPr>
      <w:bookmarkStart w:id="121" w:name="_Toc347827094"/>
      <w:r w:rsidRPr="00AD151D">
        <w:lastRenderedPageBreak/>
        <w:t xml:space="preserve">Figure </w:t>
      </w:r>
      <w:r w:rsidR="00B3535E">
        <w:fldChar w:fldCharType="begin"/>
      </w:r>
      <w:r w:rsidR="00B3535E">
        <w:instrText xml:space="preserve"> SEQ Figure \* ARABIC </w:instrText>
      </w:r>
      <w:r w:rsidR="00B3535E">
        <w:fldChar w:fldCharType="separate"/>
      </w:r>
      <w:r w:rsidR="00B3535E">
        <w:rPr>
          <w:noProof/>
        </w:rPr>
        <w:t>5</w:t>
      </w:r>
      <w:r w:rsidR="00B3535E">
        <w:rPr>
          <w:noProof/>
        </w:rPr>
        <w:fldChar w:fldCharType="end"/>
      </w:r>
      <w:r w:rsidRPr="00AD151D">
        <w:t xml:space="preserve"> Breakdown of prices paid for RA contracts with NP26 Resources</w:t>
      </w:r>
      <w:bookmarkEnd w:id="121"/>
    </w:p>
    <w:p w:rsidR="00DE6175" w:rsidRPr="00AD151D" w:rsidRDefault="002F5203" w:rsidP="00075EA6">
      <w:pPr>
        <w:keepNext/>
        <w:keepLines/>
        <w:spacing w:before="120"/>
      </w:pPr>
      <w:r>
        <w:rPr>
          <w:noProof/>
        </w:rPr>
        <w:drawing>
          <wp:inline distT="0" distB="0" distL="0" distR="0" wp14:anchorId="308ACABB" wp14:editId="57903974">
            <wp:extent cx="4732020" cy="27508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32020" cy="2750820"/>
                    </a:xfrm>
                    <a:prstGeom prst="rect">
                      <a:avLst/>
                    </a:prstGeom>
                    <a:noFill/>
                  </pic:spPr>
                </pic:pic>
              </a:graphicData>
            </a:graphic>
          </wp:inline>
        </w:drawing>
      </w:r>
    </w:p>
    <w:p w:rsidR="00DE6175" w:rsidRPr="00AD151D" w:rsidRDefault="00DE6175" w:rsidP="00075EA6">
      <w:pPr>
        <w:keepNext/>
        <w:keepLines/>
        <w:spacing w:before="120"/>
        <w:rPr>
          <w:sz w:val="20"/>
          <w:szCs w:val="20"/>
        </w:rPr>
      </w:pPr>
      <w:r w:rsidRPr="00AD151D">
        <w:rPr>
          <w:sz w:val="20"/>
          <w:szCs w:val="20"/>
        </w:rPr>
        <w:t>Source: 2012 Energy Division survey of IOUs and ESPs, September 2012</w:t>
      </w:r>
    </w:p>
    <w:p w:rsidR="00DE6175" w:rsidRPr="00AD151D" w:rsidRDefault="00DE6175" w:rsidP="00DE6175">
      <w:pPr>
        <w:widowControl w:val="0"/>
        <w:spacing w:before="120"/>
        <w:rPr>
          <w:sz w:val="20"/>
          <w:szCs w:val="20"/>
        </w:rPr>
      </w:pPr>
    </w:p>
    <w:p w:rsidR="00DE6175" w:rsidRPr="00AD151D" w:rsidRDefault="00DE6175" w:rsidP="00075EA6">
      <w:pPr>
        <w:pStyle w:val="Caption"/>
        <w:keepNext/>
        <w:keepLines/>
        <w:spacing w:before="120"/>
      </w:pPr>
      <w:bookmarkStart w:id="122" w:name="_Toc347827095"/>
      <w:r w:rsidRPr="00AD151D">
        <w:t xml:space="preserve">Figure </w:t>
      </w:r>
      <w:r w:rsidR="00B3535E">
        <w:fldChar w:fldCharType="begin"/>
      </w:r>
      <w:r w:rsidR="00B3535E">
        <w:instrText xml:space="preserve"> SEQ Figure \* ARABIC </w:instrText>
      </w:r>
      <w:r w:rsidR="00B3535E">
        <w:fldChar w:fldCharType="separate"/>
      </w:r>
      <w:r w:rsidR="00B3535E">
        <w:rPr>
          <w:noProof/>
        </w:rPr>
        <w:t>6</w:t>
      </w:r>
      <w:r w:rsidR="00B3535E">
        <w:rPr>
          <w:noProof/>
        </w:rPr>
        <w:fldChar w:fldCharType="end"/>
      </w:r>
      <w:r w:rsidRPr="00AD151D">
        <w:t xml:space="preserve"> Breakdown of prices paid for RA only contracts with SP26 Resources</w:t>
      </w:r>
      <w:bookmarkEnd w:id="122"/>
    </w:p>
    <w:p w:rsidR="00DE6175" w:rsidRPr="00AD151D" w:rsidRDefault="002F5203" w:rsidP="00075EA6">
      <w:pPr>
        <w:keepNext/>
        <w:keepLines/>
        <w:spacing w:before="120"/>
        <w:rPr>
          <w:sz w:val="20"/>
          <w:szCs w:val="20"/>
        </w:rPr>
      </w:pPr>
      <w:r>
        <w:rPr>
          <w:noProof/>
          <w:sz w:val="20"/>
          <w:szCs w:val="20"/>
        </w:rPr>
        <w:drawing>
          <wp:inline distT="0" distB="0" distL="0" distR="0" wp14:anchorId="52F908F5" wp14:editId="36D97579">
            <wp:extent cx="4945380" cy="3101340"/>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45380" cy="3101340"/>
                    </a:xfrm>
                    <a:prstGeom prst="rect">
                      <a:avLst/>
                    </a:prstGeom>
                    <a:noFill/>
                  </pic:spPr>
                </pic:pic>
              </a:graphicData>
            </a:graphic>
          </wp:inline>
        </w:drawing>
      </w:r>
    </w:p>
    <w:p w:rsidR="00DE6175" w:rsidRPr="00AD151D" w:rsidRDefault="00DE6175" w:rsidP="00075EA6">
      <w:pPr>
        <w:keepNext/>
        <w:keepLines/>
        <w:spacing w:before="120"/>
        <w:rPr>
          <w:sz w:val="20"/>
          <w:szCs w:val="20"/>
        </w:rPr>
      </w:pPr>
      <w:r w:rsidRPr="00AD151D">
        <w:rPr>
          <w:sz w:val="20"/>
          <w:szCs w:val="20"/>
        </w:rPr>
        <w:t>Source: 2012 Energy Division survey of IOUs and ESPs, September 2012</w:t>
      </w:r>
    </w:p>
    <w:p w:rsidR="00DE6175" w:rsidRPr="00AD151D" w:rsidRDefault="00DE6175" w:rsidP="004A2ECB">
      <w:pPr>
        <w:widowControl w:val="0"/>
        <w:spacing w:before="120"/>
        <w:rPr>
          <w:sz w:val="20"/>
          <w:szCs w:val="20"/>
        </w:rPr>
      </w:pPr>
    </w:p>
    <w:p w:rsidR="00DE6175" w:rsidRPr="00AD151D" w:rsidRDefault="00DE6175" w:rsidP="004C3C54">
      <w:pPr>
        <w:pStyle w:val="Caption"/>
        <w:keepNext/>
        <w:keepLines/>
        <w:spacing w:before="120"/>
      </w:pPr>
      <w:bookmarkStart w:id="123" w:name="_Toc347827096"/>
      <w:r w:rsidRPr="00AD151D">
        <w:lastRenderedPageBreak/>
        <w:t xml:space="preserve">Figure </w:t>
      </w:r>
      <w:r w:rsidR="00B3535E">
        <w:fldChar w:fldCharType="begin"/>
      </w:r>
      <w:r w:rsidR="00B3535E">
        <w:instrText xml:space="preserve"> SEQ Figure \* ARABI</w:instrText>
      </w:r>
      <w:r w:rsidR="00B3535E">
        <w:instrText xml:space="preserve">C </w:instrText>
      </w:r>
      <w:r w:rsidR="00B3535E">
        <w:fldChar w:fldCharType="separate"/>
      </w:r>
      <w:r w:rsidR="00B3535E">
        <w:rPr>
          <w:noProof/>
        </w:rPr>
        <w:t>7</w:t>
      </w:r>
      <w:r w:rsidR="00B3535E">
        <w:rPr>
          <w:noProof/>
        </w:rPr>
        <w:fldChar w:fldCharType="end"/>
      </w:r>
      <w:r w:rsidRPr="00AD151D">
        <w:t xml:space="preserve"> Breakdown of prices paid for Local RA only contracts</w:t>
      </w:r>
      <w:bookmarkEnd w:id="123"/>
    </w:p>
    <w:p w:rsidR="00BB596F" w:rsidRPr="00AD151D" w:rsidRDefault="002F5203" w:rsidP="00277DC8">
      <w:pPr>
        <w:keepNext/>
        <w:keepLines/>
        <w:spacing w:before="120"/>
        <w:rPr>
          <w:sz w:val="20"/>
          <w:szCs w:val="20"/>
        </w:rPr>
      </w:pPr>
      <w:r>
        <w:rPr>
          <w:noProof/>
          <w:sz w:val="20"/>
          <w:szCs w:val="20"/>
        </w:rPr>
        <w:drawing>
          <wp:inline distT="0" distB="0" distL="0" distR="0" wp14:anchorId="4F7C6DF6" wp14:editId="73934963">
            <wp:extent cx="4732020" cy="27508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32020" cy="2750820"/>
                    </a:xfrm>
                    <a:prstGeom prst="rect">
                      <a:avLst/>
                    </a:prstGeom>
                    <a:noFill/>
                  </pic:spPr>
                </pic:pic>
              </a:graphicData>
            </a:graphic>
          </wp:inline>
        </w:drawing>
      </w:r>
    </w:p>
    <w:p w:rsidR="000D7850" w:rsidRPr="00AD151D" w:rsidRDefault="00DE6175" w:rsidP="002F5203">
      <w:pPr>
        <w:pStyle w:val="Caption"/>
        <w:keepNext/>
        <w:keepLines/>
        <w:spacing w:before="120"/>
        <w:rPr>
          <w:b w:val="0"/>
        </w:rPr>
      </w:pPr>
      <w:r w:rsidRPr="00AD151D">
        <w:rPr>
          <w:b w:val="0"/>
        </w:rPr>
        <w:t>Source: 2012 Energy Division survey of IOUs and ESPs, September 2012</w:t>
      </w:r>
    </w:p>
    <w:p w:rsidR="000D7850" w:rsidRPr="00AD151D" w:rsidRDefault="000D7850" w:rsidP="006645E2">
      <w:pPr>
        <w:pStyle w:val="Caption"/>
        <w:widowControl w:val="0"/>
      </w:pPr>
    </w:p>
    <w:p w:rsidR="00DE6175" w:rsidRPr="00AD151D" w:rsidRDefault="00350B99" w:rsidP="002F5203">
      <w:pPr>
        <w:pStyle w:val="Caption"/>
        <w:widowControl w:val="0"/>
        <w:spacing w:before="120"/>
      </w:pPr>
      <w:bookmarkStart w:id="124" w:name="_Toc347827097"/>
      <w:r w:rsidRPr="00AD151D">
        <w:t xml:space="preserve">Figure </w:t>
      </w:r>
      <w:r w:rsidR="00B3535E">
        <w:fldChar w:fldCharType="begin"/>
      </w:r>
      <w:r w:rsidR="00B3535E">
        <w:instrText xml:space="preserve"> SEQ Figure \* ARABIC </w:instrText>
      </w:r>
      <w:r w:rsidR="00B3535E">
        <w:fldChar w:fldCharType="separate"/>
      </w:r>
      <w:r w:rsidR="00B3535E">
        <w:rPr>
          <w:noProof/>
        </w:rPr>
        <w:t>8</w:t>
      </w:r>
      <w:r w:rsidR="00B3535E">
        <w:rPr>
          <w:noProof/>
        </w:rPr>
        <w:fldChar w:fldCharType="end"/>
      </w:r>
      <w:r w:rsidRPr="00AD151D">
        <w:t xml:space="preserve"> </w:t>
      </w:r>
      <w:r w:rsidR="000D7850" w:rsidRPr="00AD151D">
        <w:t>Local RA Prices Paid NP26</w:t>
      </w:r>
      <w:bookmarkEnd w:id="124"/>
      <w:r w:rsidR="000D7850" w:rsidRPr="00AD151D">
        <w:t xml:space="preserve"> </w:t>
      </w:r>
    </w:p>
    <w:p w:rsidR="00DE6175" w:rsidRPr="00AD151D" w:rsidRDefault="002F5203" w:rsidP="002F5203">
      <w:pPr>
        <w:widowControl w:val="0"/>
        <w:spacing w:before="120"/>
      </w:pPr>
      <w:r>
        <w:rPr>
          <w:noProof/>
        </w:rPr>
        <w:drawing>
          <wp:inline distT="0" distB="0" distL="0" distR="0" wp14:anchorId="6F97D894" wp14:editId="2F5C8B85">
            <wp:extent cx="5210355" cy="2493034"/>
            <wp:effectExtent l="0" t="0" r="9525"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09210" cy="2492486"/>
                    </a:xfrm>
                    <a:prstGeom prst="rect">
                      <a:avLst/>
                    </a:prstGeom>
                    <a:noFill/>
                  </pic:spPr>
                </pic:pic>
              </a:graphicData>
            </a:graphic>
          </wp:inline>
        </w:drawing>
      </w:r>
    </w:p>
    <w:p w:rsidR="00DE6175" w:rsidRPr="00AD151D" w:rsidRDefault="00DE6175" w:rsidP="002F5203">
      <w:pPr>
        <w:widowControl w:val="0"/>
        <w:spacing w:before="120"/>
        <w:rPr>
          <w:sz w:val="20"/>
          <w:szCs w:val="20"/>
        </w:rPr>
      </w:pPr>
      <w:r w:rsidRPr="00AD151D">
        <w:rPr>
          <w:sz w:val="20"/>
          <w:szCs w:val="20"/>
        </w:rPr>
        <w:t>Source: 2012 Energy Division survey of IOUs and ESPs, September 2012</w:t>
      </w:r>
    </w:p>
    <w:p w:rsidR="00350B99" w:rsidRPr="00AD151D" w:rsidRDefault="00350B99" w:rsidP="00075EA6">
      <w:pPr>
        <w:keepNext/>
        <w:keepLines/>
        <w:spacing w:before="120"/>
        <w:rPr>
          <w:sz w:val="20"/>
          <w:szCs w:val="20"/>
        </w:rPr>
      </w:pPr>
    </w:p>
    <w:p w:rsidR="000D7850" w:rsidRPr="00AD151D" w:rsidRDefault="000D7850" w:rsidP="00350B99">
      <w:pPr>
        <w:pStyle w:val="Caption"/>
        <w:keepNext/>
        <w:keepLines/>
      </w:pPr>
      <w:bookmarkStart w:id="125" w:name="_Toc347316238"/>
    </w:p>
    <w:p w:rsidR="00350B99" w:rsidRPr="00AD151D" w:rsidRDefault="00350B99" w:rsidP="00075EA6">
      <w:pPr>
        <w:pStyle w:val="Caption"/>
        <w:keepNext/>
        <w:keepLines/>
        <w:spacing w:before="120"/>
      </w:pPr>
      <w:bookmarkStart w:id="126" w:name="_Toc347827098"/>
      <w:r w:rsidRPr="00AD151D">
        <w:t xml:space="preserve">Figure </w:t>
      </w:r>
      <w:r w:rsidR="00B3535E">
        <w:fldChar w:fldCharType="begin"/>
      </w:r>
      <w:r w:rsidR="00B3535E">
        <w:instrText xml:space="preserve"> SEQ Figure \* ARABIC </w:instrText>
      </w:r>
      <w:r w:rsidR="00B3535E">
        <w:fldChar w:fldCharType="separate"/>
      </w:r>
      <w:r w:rsidR="00B3535E">
        <w:rPr>
          <w:noProof/>
        </w:rPr>
        <w:t>9</w:t>
      </w:r>
      <w:bookmarkEnd w:id="125"/>
      <w:r w:rsidR="00B3535E">
        <w:rPr>
          <w:noProof/>
        </w:rPr>
        <w:fldChar w:fldCharType="end"/>
      </w:r>
      <w:r w:rsidR="000D7850" w:rsidRPr="00AD151D">
        <w:rPr>
          <w:noProof/>
        </w:rPr>
        <w:t xml:space="preserve"> Local RA Prices Paid SP 26</w:t>
      </w:r>
      <w:bookmarkEnd w:id="126"/>
    </w:p>
    <w:p w:rsidR="00DE6175" w:rsidRPr="00AD151D" w:rsidRDefault="002F5203" w:rsidP="00075EA6">
      <w:pPr>
        <w:pStyle w:val="Caption"/>
        <w:keepNext/>
        <w:keepLines/>
        <w:spacing w:before="120"/>
      </w:pPr>
      <w:r>
        <w:rPr>
          <w:noProof/>
        </w:rPr>
        <w:drawing>
          <wp:inline distT="0" distB="0" distL="0" distR="0" wp14:anchorId="0C613A6C" wp14:editId="090AF131">
            <wp:extent cx="4671060" cy="275844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71060" cy="2758440"/>
                    </a:xfrm>
                    <a:prstGeom prst="rect">
                      <a:avLst/>
                    </a:prstGeom>
                    <a:noFill/>
                  </pic:spPr>
                </pic:pic>
              </a:graphicData>
            </a:graphic>
          </wp:inline>
        </w:drawing>
      </w:r>
    </w:p>
    <w:p w:rsidR="00DE6175" w:rsidRPr="00AD151D" w:rsidRDefault="00DE6175" w:rsidP="00075EA6">
      <w:pPr>
        <w:keepNext/>
        <w:keepLines/>
        <w:spacing w:before="120"/>
        <w:rPr>
          <w:sz w:val="20"/>
          <w:szCs w:val="20"/>
        </w:rPr>
      </w:pPr>
      <w:r w:rsidRPr="00AD151D">
        <w:rPr>
          <w:sz w:val="20"/>
          <w:szCs w:val="20"/>
        </w:rPr>
        <w:t>Source: 2012 Energy Division survey of IOUs and ESPs, September 2012</w:t>
      </w:r>
    </w:p>
    <w:p w:rsidR="00AE7D50" w:rsidRPr="00AD151D" w:rsidRDefault="00AE7D50" w:rsidP="00903E7D"/>
    <w:p w:rsidR="00AE7D50" w:rsidRPr="00AD151D" w:rsidRDefault="00AE7D50">
      <w:pPr>
        <w:pStyle w:val="Heading1"/>
        <w:numPr>
          <w:ilvl w:val="0"/>
          <w:numId w:val="18"/>
        </w:numPr>
        <w:spacing w:before="120"/>
      </w:pPr>
      <w:bookmarkStart w:id="127" w:name="_Toc347827061"/>
      <w:r w:rsidRPr="00AD151D">
        <w:t>Compliance with RAR</w:t>
      </w:r>
      <w:bookmarkEnd w:id="127"/>
      <w:r w:rsidRPr="00AD151D">
        <w:tab/>
      </w:r>
    </w:p>
    <w:p w:rsidR="00AE7D50" w:rsidRPr="00AD151D" w:rsidRDefault="00AE7D50">
      <w:pPr>
        <w:spacing w:before="120"/>
        <w:ind w:firstLine="720"/>
      </w:pPr>
      <w:r w:rsidRPr="00AD151D">
        <w:t>CPUC staff continued the implementation of the RA program during 2011 and built on accrued experience from past years.  As in previous years, Energy Division hosted a workshop on July 2010 to discuss general compliance rules as well as to highlight changes in procedures or filing rules new to 2011 compliance year.  Final 2011 templates and guides were made available to LSEs on August, 2010.</w:t>
      </w:r>
    </w:p>
    <w:p w:rsidR="00AE7D50" w:rsidRPr="00277DC8" w:rsidRDefault="00AE7D50">
      <w:pPr>
        <w:pStyle w:val="Heading2"/>
        <w:numPr>
          <w:ilvl w:val="1"/>
          <w:numId w:val="18"/>
        </w:numPr>
        <w:spacing w:before="120"/>
        <w:rPr>
          <w:i w:val="0"/>
        </w:rPr>
      </w:pPr>
      <w:bookmarkStart w:id="128" w:name="_Toc347827062"/>
      <w:r w:rsidRPr="00277DC8">
        <w:rPr>
          <w:i w:val="0"/>
        </w:rPr>
        <w:t>Overview of the RA Filing Process</w:t>
      </w:r>
      <w:bookmarkEnd w:id="128"/>
      <w:r w:rsidRPr="00277DC8">
        <w:rPr>
          <w:i w:val="0"/>
        </w:rPr>
        <w:tab/>
      </w:r>
    </w:p>
    <w:p w:rsidR="00AE7D50" w:rsidRPr="00AD151D" w:rsidRDefault="00AE7D50">
      <w:pPr>
        <w:spacing w:before="120"/>
        <w:ind w:firstLine="720"/>
      </w:pPr>
      <w:r w:rsidRPr="00AD151D">
        <w:t>The 2011 System and Local RA filing templates and guides were very similar to the 2010 filing templates and guides.  Some changes were made to accommodate the new Local RA True up process.  As with previous years, the CPUC required that all filings be submitted simultaneously to the CAISO, CPUC, and CEC.</w:t>
      </w:r>
    </w:p>
    <w:p w:rsidR="00AE7D50" w:rsidRPr="00AD151D" w:rsidRDefault="00AE7D50">
      <w:pPr>
        <w:spacing w:before="120"/>
        <w:ind w:firstLine="720"/>
      </w:pPr>
      <w:r w:rsidRPr="00AD151D">
        <w:t xml:space="preserve">The RA filing process involves load forecasting duties performed by the CEC, supply plan validations performed by the CAISO, </w:t>
      </w:r>
      <w:r w:rsidR="001D266C">
        <w:t>with</w:t>
      </w:r>
      <w:r w:rsidRPr="00AD151D">
        <w:t xml:space="preserve"> Demand Response, Local RA, and CAM and RMR allocations performed by the Energy Division. Additionally Energy Division evaluates every submitted RA filing, and continually works with LSEs to improve the RA administration process.   </w:t>
      </w:r>
      <w:r w:rsidR="00AC45E9" w:rsidRPr="00AD151D">
        <w:t xml:space="preserve">  </w:t>
      </w:r>
      <w:r w:rsidRPr="00AD151D">
        <w:t xml:space="preserve"> </w:t>
      </w:r>
    </w:p>
    <w:p w:rsidR="00AE7D50" w:rsidRPr="00277DC8" w:rsidRDefault="00AE7D50">
      <w:pPr>
        <w:pStyle w:val="Heading2"/>
        <w:numPr>
          <w:ilvl w:val="1"/>
          <w:numId w:val="18"/>
        </w:numPr>
        <w:spacing w:before="120"/>
        <w:rPr>
          <w:i w:val="0"/>
        </w:rPr>
      </w:pPr>
      <w:bookmarkStart w:id="129" w:name="_Toc347827063"/>
      <w:r w:rsidRPr="00277DC8">
        <w:rPr>
          <w:i w:val="0"/>
        </w:rPr>
        <w:t>Working with Stakeholders to Improve the Compliance Review Process</w:t>
      </w:r>
      <w:bookmarkEnd w:id="129"/>
      <w:r w:rsidRPr="00277DC8">
        <w:rPr>
          <w:i w:val="0"/>
        </w:rPr>
        <w:tab/>
      </w:r>
    </w:p>
    <w:p w:rsidR="00AE7D50" w:rsidRPr="00AD151D" w:rsidRDefault="00AE7D50">
      <w:pPr>
        <w:spacing w:before="120"/>
        <w:ind w:firstLine="720"/>
      </w:pPr>
      <w:r w:rsidRPr="00AD151D">
        <w:t xml:space="preserve">The CPUC checked the filings for compliance by verifying that each LSE’s submittal was accurate, timely, and satisfied all requirements. The CAISO reviewed the filings to check whether the RA filings submitted by LSEs were consistent with the </w:t>
      </w:r>
      <w:r w:rsidRPr="00AD151D">
        <w:lastRenderedPageBreak/>
        <w:t xml:space="preserve">supply plans submitted by generators, and used the submittals to let CAISO operations staff know which units were under contract and available.  The CEC reviewed the filings and the historical load information provided by the LSEs for the appropriate time period to determine whether those filings matched load forecasts.  </w:t>
      </w:r>
    </w:p>
    <w:p w:rsidR="003303D3" w:rsidRDefault="00AE7D50">
      <w:pPr>
        <w:spacing w:before="120"/>
        <w:ind w:firstLine="720"/>
      </w:pPr>
      <w:r w:rsidRPr="00AD151D">
        <w:t xml:space="preserve">In 2010, CPUC Staff continued to work closely with LSEs to resolve any questions regarding the RA filing process and templates.  CPUC Staff </w:t>
      </w:r>
      <w:r w:rsidR="003303D3">
        <w:t>provide</w:t>
      </w:r>
      <w:r w:rsidRPr="00AD151D">
        <w:t xml:space="preserve"> answers to numerous questions raised by LSEs that have special or unique circumstances.  CPUC Staff </w:t>
      </w:r>
      <w:r w:rsidR="003303D3">
        <w:t>expects t</w:t>
      </w:r>
      <w:r w:rsidR="003303D3" w:rsidRPr="00AD151D">
        <w:t xml:space="preserve">hat </w:t>
      </w:r>
      <w:r w:rsidR="003303D3">
        <w:t xml:space="preserve">training and </w:t>
      </w:r>
      <w:r w:rsidRPr="00AD151D">
        <w:t xml:space="preserve">working with the LSEs to reconcile differences and make revisions will continue to lead to fewer questions in the future and make the RA filing process smoother.  </w:t>
      </w:r>
      <w:r w:rsidR="000E41DF" w:rsidRPr="00AD151D">
        <w:t xml:space="preserve">Due to the administrative obligations of the RA Program, Energy Division Staff </w:t>
      </w:r>
      <w:r w:rsidR="000E41DF">
        <w:t>tries to continually</w:t>
      </w:r>
      <w:r w:rsidR="000E41DF" w:rsidRPr="00AD151D">
        <w:t xml:space="preserve"> simplify and streamline filing procedures, </w:t>
      </w:r>
      <w:r w:rsidR="000E41DF">
        <w:t xml:space="preserve">e.g. </w:t>
      </w:r>
      <w:r w:rsidR="000E41DF" w:rsidRPr="00AD151D">
        <w:t>accept</w:t>
      </w:r>
      <w:r w:rsidR="00873366">
        <w:t>ing</w:t>
      </w:r>
      <w:r w:rsidR="000E41DF" w:rsidRPr="00AD151D">
        <w:t xml:space="preserve"> RA Filings electronically via a Secure FTP application</w:t>
      </w:r>
      <w:r w:rsidR="000E41DF">
        <w:t xml:space="preserve"> to reduce late filings</w:t>
      </w:r>
      <w:r w:rsidR="000E41DF" w:rsidRPr="00AD151D">
        <w:t xml:space="preserve">.  </w:t>
      </w:r>
    </w:p>
    <w:p w:rsidR="00AE7D50" w:rsidRDefault="00AE7D50">
      <w:pPr>
        <w:spacing w:before="120"/>
        <w:ind w:firstLine="720"/>
      </w:pPr>
      <w:r w:rsidRPr="00AD151D">
        <w:t xml:space="preserve">CPUC Staff, in a coordinated effort with the CEC and CAISO, reviewed all compliance filings received to date </w:t>
      </w:r>
      <w:r w:rsidR="003303D3">
        <w:t>in</w:t>
      </w:r>
      <w:r w:rsidR="003F36BA">
        <w:t xml:space="preserve"> </w:t>
      </w:r>
      <w:r w:rsidRPr="00AD151D">
        <w:t>accord</w:t>
      </w:r>
      <w:r w:rsidR="003303D3">
        <w:t>ance with</w:t>
      </w:r>
      <w:r w:rsidRPr="00AD151D">
        <w:t xml:space="preserve"> comprehensive procedure</w:t>
      </w:r>
      <w:r w:rsidR="003303D3">
        <w:t>s</w:t>
      </w:r>
      <w:r w:rsidRPr="00AD151D">
        <w:t xml:space="preserve"> that include</w:t>
      </w:r>
      <w:r w:rsidR="003303D3">
        <w:t>;</w:t>
      </w:r>
      <w:r w:rsidRPr="00AD151D">
        <w:t xml:space="preserve"> verifying timely arrival of the filings, matching resources listed against those of the NQC list, confirming compliance with local and Path 26 requirements, and requesting corrections.  </w:t>
      </w:r>
      <w:r w:rsidR="003303D3">
        <w:t xml:space="preserve">A vital step of this process </w:t>
      </w:r>
      <w:r w:rsidR="003F36BA">
        <w:t>relies on t</w:t>
      </w:r>
      <w:r w:rsidRPr="00AD151D">
        <w:t>he CAISO collect</w:t>
      </w:r>
      <w:r w:rsidR="003F36BA">
        <w:t>ing</w:t>
      </w:r>
      <w:r w:rsidRPr="00AD151D">
        <w:t xml:space="preserve"> and organiz</w:t>
      </w:r>
      <w:r w:rsidR="003F36BA">
        <w:t>ing</w:t>
      </w:r>
      <w:r w:rsidRPr="00AD151D">
        <w:t xml:space="preserve"> supply plans submitted by generators, </w:t>
      </w:r>
      <w:r w:rsidR="003F36BA">
        <w:t>who then</w:t>
      </w:r>
      <w:r w:rsidRPr="00AD151D">
        <w:t xml:space="preserve"> helps Energy Division </w:t>
      </w:r>
      <w:r w:rsidR="003F36BA">
        <w:t>match</w:t>
      </w:r>
      <w:r w:rsidRPr="00AD151D">
        <w:t xml:space="preserve"> the supply plans to the LSE filings.  Energy Division</w:t>
      </w:r>
      <w:r w:rsidR="00BB2D00">
        <w:t xml:space="preserve"> verifies compliance and</w:t>
      </w:r>
      <w:r w:rsidRPr="00AD151D">
        <w:t xml:space="preserve"> approves filings and sends an approval letter to each LSE.  </w:t>
      </w:r>
    </w:p>
    <w:p w:rsidR="008D3D46" w:rsidRPr="00AD151D" w:rsidRDefault="008D3D46">
      <w:pPr>
        <w:spacing w:before="120"/>
        <w:ind w:firstLine="720"/>
      </w:pPr>
      <w:r w:rsidRPr="00AD151D">
        <w:t xml:space="preserve">Every year, Energy Division staff holds a workshop to go over the adopted templates for the up-coming compliance year.  Energy Division staff goes through the process of filling out the template and avoiding errors that may lead to non-compliance.  There is also an instruction tab located on these templates that details how to fill in the templates.  The tools are there to assist all LSEs in showing compliance with the RA program and clarifying any confusion that could lead to errors causing non-compliance.   </w:t>
      </w:r>
    </w:p>
    <w:p w:rsidR="00AE7D50" w:rsidRDefault="00AE7D50">
      <w:pPr>
        <w:pStyle w:val="Heading2"/>
        <w:numPr>
          <w:ilvl w:val="1"/>
          <w:numId w:val="18"/>
        </w:numPr>
        <w:rPr>
          <w:i w:val="0"/>
        </w:rPr>
      </w:pPr>
      <w:bookmarkStart w:id="130" w:name="_Toc347827064"/>
      <w:r w:rsidRPr="00277DC8">
        <w:rPr>
          <w:i w:val="0"/>
        </w:rPr>
        <w:t>Enforcement and Compliance</w:t>
      </w:r>
      <w:bookmarkEnd w:id="130"/>
    </w:p>
    <w:p w:rsidR="00B717E9" w:rsidRPr="00B717E9" w:rsidRDefault="00B717E9" w:rsidP="004D507D">
      <w:pPr>
        <w:ind w:firstLine="576"/>
      </w:pPr>
      <w:r w:rsidRPr="00AD151D">
        <w:t xml:space="preserve">The essence of the RAR program is mandatory LSE acquisition of capacity to meet load and reserve requirements.  The short timeframes in which CPUC, CAISO and CEC Staff must verify that adequate capacity has been procured and to complete backstop procurement if necessary creates a need for filings to arrive on time and be correct.  Non-compliance occurs if either an LSE files with a procurement deficiency (i.e. it did not meet its RA obligations) or does not file at all, files late, or not in the manner required.  These types of non-compliance generally lead to enforcement actions or citations.  Although CPUC staff has not experienced a situation where backstop procurement by the CAISO has resulted from CPUC jurisdictional LSE procurement deficiencies, the situation may occur if compliance is not strictly enforced.  </w:t>
      </w:r>
    </w:p>
    <w:p w:rsidR="00AE7D50" w:rsidRPr="003E1B1A" w:rsidRDefault="00AE7D50">
      <w:pPr>
        <w:pStyle w:val="Heading3"/>
        <w:numPr>
          <w:ilvl w:val="2"/>
          <w:numId w:val="18"/>
        </w:numPr>
      </w:pPr>
      <w:bookmarkStart w:id="131" w:name="_Toc347827065"/>
      <w:r w:rsidRPr="003E1B1A">
        <w:lastRenderedPageBreak/>
        <w:t>Enforcement actions taken 2006-2011 compliance years</w:t>
      </w:r>
      <w:bookmarkEnd w:id="131"/>
    </w:p>
    <w:p w:rsidR="004C3C54" w:rsidRPr="00957210" w:rsidRDefault="00AE7D50" w:rsidP="004D507D">
      <w:pPr>
        <w:pStyle w:val="Noraml"/>
        <w:spacing w:before="120" w:line="240" w:lineRule="auto"/>
        <w:rPr>
          <w:rFonts w:ascii="Times New Roman" w:hAnsi="Times New Roman"/>
          <w:sz w:val="24"/>
          <w:szCs w:val="24"/>
        </w:rPr>
      </w:pPr>
      <w:r w:rsidRPr="00957210">
        <w:rPr>
          <w:rFonts w:ascii="Times New Roman" w:hAnsi="Times New Roman"/>
          <w:sz w:val="24"/>
          <w:szCs w:val="24"/>
        </w:rPr>
        <w:t>Pursuant to Commission Resolution E-4195</w:t>
      </w:r>
      <w:r w:rsidRPr="00957210">
        <w:rPr>
          <w:rStyle w:val="FootnoteReference"/>
          <w:rFonts w:ascii="Times New Roman" w:hAnsi="Times New Roman"/>
          <w:sz w:val="24"/>
          <w:szCs w:val="24"/>
        </w:rPr>
        <w:footnoteReference w:id="32"/>
      </w:r>
      <w:r w:rsidRPr="00957210">
        <w:rPr>
          <w:rFonts w:ascii="Times New Roman" w:hAnsi="Times New Roman"/>
          <w:sz w:val="24"/>
          <w:szCs w:val="24"/>
        </w:rPr>
        <w:t>, Energy Division refers potential violations to the CPUC’s Consumer Protection and Safety Division (CPSD), which prosecutes enforcement cases related to the RA program on behalf of the Commission.</w:t>
      </w:r>
      <w:r w:rsidR="003E1B1A" w:rsidRPr="00957210">
        <w:rPr>
          <w:rFonts w:ascii="Times New Roman" w:hAnsi="Times New Roman"/>
          <w:sz w:val="24"/>
          <w:szCs w:val="24"/>
        </w:rPr>
        <w:t xml:space="preserve">  </w:t>
      </w:r>
      <w:r w:rsidR="000E41DF" w:rsidRPr="00957210">
        <w:rPr>
          <w:rFonts w:ascii="Times New Roman" w:hAnsi="Times New Roman"/>
          <w:sz w:val="24"/>
          <w:szCs w:val="24"/>
        </w:rPr>
        <w:t>In 2011 o</w:t>
      </w:r>
      <w:r w:rsidRPr="00957210">
        <w:rPr>
          <w:rFonts w:ascii="Times New Roman" w:hAnsi="Times New Roman"/>
          <w:sz w:val="24"/>
          <w:szCs w:val="24"/>
        </w:rPr>
        <w:t>verall compliance</w:t>
      </w:r>
      <w:r w:rsidR="000E41DF" w:rsidRPr="00957210">
        <w:rPr>
          <w:rFonts w:ascii="Times New Roman" w:hAnsi="Times New Roman"/>
          <w:sz w:val="24"/>
          <w:szCs w:val="24"/>
        </w:rPr>
        <w:t xml:space="preserve"> actions</w:t>
      </w:r>
      <w:r w:rsidRPr="00957210">
        <w:rPr>
          <w:rFonts w:ascii="Times New Roman" w:hAnsi="Times New Roman"/>
          <w:sz w:val="24"/>
          <w:szCs w:val="24"/>
        </w:rPr>
        <w:t xml:space="preserve"> decreased from the previous year. </w:t>
      </w:r>
      <w:r w:rsidR="004D507D" w:rsidRPr="00957210">
        <w:rPr>
          <w:rFonts w:ascii="Times New Roman" w:hAnsi="Times New Roman"/>
          <w:sz w:val="24"/>
          <w:szCs w:val="24"/>
        </w:rPr>
        <w:tab/>
      </w:r>
    </w:p>
    <w:p w:rsidR="00854291" w:rsidRPr="00957210" w:rsidRDefault="00F27FC0" w:rsidP="004D507D">
      <w:pPr>
        <w:pStyle w:val="Noraml"/>
        <w:spacing w:before="120" w:line="240" w:lineRule="auto"/>
        <w:rPr>
          <w:rFonts w:ascii="Times New Roman" w:hAnsi="Times New Roman"/>
          <w:sz w:val="24"/>
          <w:szCs w:val="24"/>
        </w:rPr>
      </w:pPr>
      <w:r w:rsidRPr="00957210">
        <w:rPr>
          <w:rFonts w:ascii="Times New Roman" w:hAnsi="Times New Roman"/>
          <w:sz w:val="24"/>
          <w:szCs w:val="24"/>
        </w:rPr>
        <w:fldChar w:fldCharType="begin"/>
      </w:r>
      <w:r w:rsidRPr="00957210">
        <w:rPr>
          <w:rFonts w:ascii="Times New Roman" w:hAnsi="Times New Roman"/>
          <w:sz w:val="24"/>
          <w:szCs w:val="24"/>
        </w:rPr>
        <w:instrText xml:space="preserve"> REF _Ref224719704 \h  \* MERGEFORMAT </w:instrText>
      </w:r>
      <w:r w:rsidRPr="00957210">
        <w:rPr>
          <w:rFonts w:ascii="Times New Roman" w:hAnsi="Times New Roman"/>
          <w:sz w:val="24"/>
          <w:szCs w:val="24"/>
        </w:rPr>
      </w:r>
      <w:r w:rsidRPr="00957210">
        <w:rPr>
          <w:rFonts w:ascii="Times New Roman" w:hAnsi="Times New Roman"/>
          <w:sz w:val="24"/>
          <w:szCs w:val="24"/>
        </w:rPr>
        <w:fldChar w:fldCharType="separate"/>
      </w:r>
      <w:r w:rsidR="00B3535E" w:rsidRPr="00B3535E">
        <w:rPr>
          <w:rFonts w:ascii="Times New Roman" w:hAnsi="Times New Roman"/>
          <w:sz w:val="24"/>
          <w:szCs w:val="24"/>
        </w:rPr>
        <w:t xml:space="preserve">Table </w:t>
      </w:r>
      <w:r w:rsidR="00B3535E" w:rsidRPr="00B3535E">
        <w:rPr>
          <w:rFonts w:ascii="Times New Roman" w:hAnsi="Times New Roman"/>
          <w:noProof/>
          <w:sz w:val="24"/>
          <w:szCs w:val="24"/>
        </w:rPr>
        <w:t>16</w:t>
      </w:r>
      <w:r w:rsidRPr="00957210">
        <w:rPr>
          <w:rFonts w:ascii="Times New Roman" w:hAnsi="Times New Roman"/>
          <w:sz w:val="24"/>
          <w:szCs w:val="24"/>
        </w:rPr>
        <w:fldChar w:fldCharType="end"/>
      </w:r>
      <w:r w:rsidR="00AE7D50" w:rsidRPr="00957210">
        <w:rPr>
          <w:rFonts w:ascii="Times New Roman" w:hAnsi="Times New Roman"/>
          <w:sz w:val="24"/>
          <w:szCs w:val="24"/>
        </w:rPr>
        <w:t xml:space="preserve"> summarizes enforcement actions and citations taken by the Commission since inception of the RA program in 2006.  </w:t>
      </w:r>
      <w:r w:rsidR="00EC7963" w:rsidRPr="00957210">
        <w:rPr>
          <w:rFonts w:ascii="Times New Roman" w:hAnsi="Times New Roman"/>
          <w:sz w:val="24"/>
          <w:szCs w:val="24"/>
        </w:rPr>
        <w:t xml:space="preserve">From 2006 through 2011 </w:t>
      </w:r>
      <w:r w:rsidR="00AE7D50" w:rsidRPr="00957210">
        <w:rPr>
          <w:rFonts w:ascii="Times New Roman" w:hAnsi="Times New Roman"/>
          <w:sz w:val="24"/>
          <w:szCs w:val="24"/>
        </w:rPr>
        <w:t>the Commission issued 22 citations for violations and</w:t>
      </w:r>
      <w:r w:rsidR="004C3C54" w:rsidRPr="00957210">
        <w:rPr>
          <w:rFonts w:ascii="Times New Roman" w:hAnsi="Times New Roman"/>
          <w:sz w:val="24"/>
          <w:szCs w:val="24"/>
        </w:rPr>
        <w:t xml:space="preserve"> </w:t>
      </w:r>
      <w:r w:rsidR="00BB2D00" w:rsidRPr="00957210">
        <w:rPr>
          <w:rFonts w:ascii="Times New Roman" w:hAnsi="Times New Roman"/>
          <w:sz w:val="24"/>
          <w:szCs w:val="24"/>
        </w:rPr>
        <w:t xml:space="preserve">initiated </w:t>
      </w:r>
      <w:r w:rsidR="004C3C54" w:rsidRPr="00957210">
        <w:rPr>
          <w:rFonts w:ascii="Times New Roman" w:hAnsi="Times New Roman"/>
          <w:sz w:val="24"/>
          <w:szCs w:val="24"/>
        </w:rPr>
        <w:t>four enforcement cases,</w:t>
      </w:r>
      <w:r w:rsidR="00AE7D50" w:rsidRPr="00957210">
        <w:rPr>
          <w:rFonts w:ascii="Times New Roman" w:hAnsi="Times New Roman"/>
          <w:sz w:val="24"/>
          <w:szCs w:val="24"/>
        </w:rPr>
        <w:t xml:space="preserve"> collect</w:t>
      </w:r>
      <w:r w:rsidR="004C3C54" w:rsidRPr="00957210">
        <w:rPr>
          <w:rFonts w:ascii="Times New Roman" w:hAnsi="Times New Roman"/>
          <w:sz w:val="24"/>
          <w:szCs w:val="24"/>
        </w:rPr>
        <w:t>ing</w:t>
      </w:r>
      <w:r w:rsidR="00AE7D50" w:rsidRPr="00957210">
        <w:rPr>
          <w:rFonts w:ascii="Times New Roman" w:hAnsi="Times New Roman"/>
          <w:sz w:val="24"/>
          <w:szCs w:val="24"/>
        </w:rPr>
        <w:t xml:space="preserve"> $82,500 </w:t>
      </w:r>
      <w:r w:rsidR="004C3C54" w:rsidRPr="00957210">
        <w:rPr>
          <w:rFonts w:ascii="Times New Roman" w:hAnsi="Times New Roman"/>
          <w:sz w:val="24"/>
          <w:szCs w:val="24"/>
        </w:rPr>
        <w:t>and $847,500</w:t>
      </w:r>
      <w:r w:rsidR="00BB2D00" w:rsidRPr="00957210">
        <w:rPr>
          <w:rFonts w:ascii="Times New Roman" w:hAnsi="Times New Roman"/>
          <w:sz w:val="24"/>
          <w:szCs w:val="24"/>
        </w:rPr>
        <w:t xml:space="preserve"> respectively</w:t>
      </w:r>
      <w:r w:rsidR="00AE7D50" w:rsidRPr="00957210">
        <w:rPr>
          <w:rFonts w:ascii="Times New Roman" w:hAnsi="Times New Roman"/>
          <w:sz w:val="24"/>
          <w:szCs w:val="24"/>
        </w:rPr>
        <w:t xml:space="preserve"> from LSEs</w:t>
      </w:r>
      <w:r w:rsidR="004C3C54" w:rsidRPr="00957210">
        <w:rPr>
          <w:rFonts w:ascii="Times New Roman" w:hAnsi="Times New Roman"/>
          <w:sz w:val="24"/>
          <w:szCs w:val="24"/>
        </w:rPr>
        <w:t>.</w:t>
      </w:r>
      <w:r w:rsidR="00AE7D50" w:rsidRPr="00957210">
        <w:rPr>
          <w:rFonts w:ascii="Times New Roman" w:hAnsi="Times New Roman"/>
          <w:sz w:val="24"/>
          <w:szCs w:val="24"/>
        </w:rPr>
        <w:t xml:space="preserve"> </w:t>
      </w:r>
      <w:r w:rsidR="004C3C54" w:rsidRPr="00957210">
        <w:rPr>
          <w:rFonts w:ascii="Times New Roman" w:hAnsi="Times New Roman"/>
          <w:sz w:val="24"/>
          <w:szCs w:val="24"/>
        </w:rPr>
        <w:t xml:space="preserve"> In 2011 the Commission issued two citations and took o</w:t>
      </w:r>
      <w:r w:rsidR="00EC7963" w:rsidRPr="00957210">
        <w:rPr>
          <w:rFonts w:ascii="Times New Roman" w:hAnsi="Times New Roman"/>
          <w:sz w:val="24"/>
          <w:szCs w:val="24"/>
        </w:rPr>
        <w:t xml:space="preserve">ne enforcement action </w:t>
      </w:r>
      <w:r w:rsidR="004C3C54" w:rsidRPr="00957210">
        <w:rPr>
          <w:rFonts w:ascii="Times New Roman" w:hAnsi="Times New Roman"/>
          <w:sz w:val="24"/>
          <w:szCs w:val="24"/>
        </w:rPr>
        <w:t>eventually collecting $7, 000 and $215,000 respectively from LSEs</w:t>
      </w:r>
      <w:r w:rsidR="00854291" w:rsidRPr="00957210">
        <w:rPr>
          <w:rFonts w:ascii="Times New Roman" w:hAnsi="Times New Roman"/>
          <w:sz w:val="24"/>
          <w:szCs w:val="24"/>
        </w:rPr>
        <w:t xml:space="preserve">.  </w:t>
      </w:r>
    </w:p>
    <w:p w:rsidR="00AE7D50" w:rsidRPr="00957210" w:rsidRDefault="00AE7D50" w:rsidP="004D507D">
      <w:pPr>
        <w:pStyle w:val="Noraml"/>
        <w:spacing w:before="120" w:line="240" w:lineRule="auto"/>
        <w:rPr>
          <w:rFonts w:ascii="Times New Roman" w:hAnsi="Times New Roman"/>
        </w:rPr>
      </w:pPr>
      <w:r w:rsidRPr="00957210">
        <w:rPr>
          <w:rFonts w:ascii="Times New Roman" w:hAnsi="Times New Roman"/>
          <w:sz w:val="24"/>
          <w:szCs w:val="24"/>
        </w:rPr>
        <w:t>An enforcement action taken against Constellation New Energy in 2007 for failure to comply with the 2007 Year-Ahead Local RA obligation</w:t>
      </w:r>
      <w:r w:rsidR="00743AB6" w:rsidRPr="00957210">
        <w:rPr>
          <w:rFonts w:ascii="Times New Roman" w:hAnsi="Times New Roman"/>
          <w:sz w:val="24"/>
          <w:szCs w:val="24"/>
        </w:rPr>
        <w:t xml:space="preserve"> </w:t>
      </w:r>
      <w:r w:rsidR="00BB2D00" w:rsidRPr="00957210">
        <w:rPr>
          <w:rFonts w:ascii="Times New Roman" w:hAnsi="Times New Roman"/>
          <w:sz w:val="24"/>
          <w:szCs w:val="24"/>
        </w:rPr>
        <w:t xml:space="preserve">and </w:t>
      </w:r>
      <w:r w:rsidR="00EE4305" w:rsidRPr="00957210">
        <w:rPr>
          <w:rFonts w:ascii="Times New Roman" w:hAnsi="Times New Roman"/>
          <w:sz w:val="24"/>
          <w:szCs w:val="24"/>
        </w:rPr>
        <w:t xml:space="preserve">settled </w:t>
      </w:r>
      <w:r w:rsidRPr="00957210">
        <w:rPr>
          <w:rFonts w:ascii="Times New Roman" w:hAnsi="Times New Roman"/>
          <w:sz w:val="24"/>
          <w:szCs w:val="24"/>
        </w:rPr>
        <w:t>in Resolution L-350</w:t>
      </w:r>
      <w:r w:rsidR="00743AB6" w:rsidRPr="00957210">
        <w:rPr>
          <w:rFonts w:ascii="Times New Roman" w:hAnsi="Times New Roman"/>
          <w:sz w:val="24"/>
          <w:szCs w:val="24"/>
        </w:rPr>
        <w:t xml:space="preserve"> for $107,500</w:t>
      </w:r>
      <w:r w:rsidRPr="00957210">
        <w:rPr>
          <w:rFonts w:ascii="Times New Roman" w:hAnsi="Times New Roman"/>
          <w:sz w:val="24"/>
          <w:szCs w:val="24"/>
        </w:rPr>
        <w:t>.</w:t>
      </w:r>
      <w:r w:rsidRPr="00957210">
        <w:rPr>
          <w:rStyle w:val="FootnoteReference"/>
          <w:rFonts w:ascii="Times New Roman" w:hAnsi="Times New Roman"/>
          <w:sz w:val="24"/>
          <w:szCs w:val="24"/>
        </w:rPr>
        <w:footnoteReference w:id="33"/>
      </w:r>
      <w:r w:rsidRPr="00957210">
        <w:rPr>
          <w:rFonts w:ascii="Times New Roman" w:hAnsi="Times New Roman"/>
          <w:sz w:val="24"/>
          <w:szCs w:val="24"/>
        </w:rPr>
        <w:t xml:space="preserve">  </w:t>
      </w:r>
      <w:r w:rsidR="00854291" w:rsidRPr="00957210">
        <w:rPr>
          <w:rFonts w:ascii="Times New Roman" w:hAnsi="Times New Roman"/>
          <w:sz w:val="24"/>
          <w:szCs w:val="24"/>
        </w:rPr>
        <w:t xml:space="preserve">In 2008 the Commission took enforcement action </w:t>
      </w:r>
      <w:r w:rsidRPr="00957210">
        <w:rPr>
          <w:rFonts w:ascii="Times New Roman" w:hAnsi="Times New Roman"/>
          <w:sz w:val="24"/>
          <w:szCs w:val="24"/>
        </w:rPr>
        <w:t>against Calpine Power America-CA, LLC related to the 2008 System and Local RA Filings</w:t>
      </w:r>
      <w:r w:rsidR="00854291" w:rsidRPr="00957210">
        <w:rPr>
          <w:rFonts w:ascii="Times New Roman" w:hAnsi="Times New Roman"/>
          <w:sz w:val="24"/>
          <w:szCs w:val="24"/>
        </w:rPr>
        <w:t xml:space="preserve"> </w:t>
      </w:r>
      <w:r w:rsidR="00BB2D00" w:rsidRPr="00957210">
        <w:rPr>
          <w:rFonts w:ascii="Times New Roman" w:hAnsi="Times New Roman"/>
          <w:sz w:val="24"/>
          <w:szCs w:val="24"/>
        </w:rPr>
        <w:t xml:space="preserve">and </w:t>
      </w:r>
      <w:r w:rsidR="00854291" w:rsidRPr="00957210">
        <w:rPr>
          <w:rFonts w:ascii="Times New Roman" w:hAnsi="Times New Roman"/>
          <w:sz w:val="24"/>
          <w:szCs w:val="24"/>
        </w:rPr>
        <w:t>subsequently settled</w:t>
      </w:r>
      <w:r w:rsidR="00743AB6" w:rsidRPr="00957210">
        <w:rPr>
          <w:rFonts w:ascii="Times New Roman" w:hAnsi="Times New Roman"/>
          <w:sz w:val="24"/>
          <w:szCs w:val="24"/>
        </w:rPr>
        <w:t xml:space="preserve"> for $225,000</w:t>
      </w:r>
      <w:r w:rsidR="00854291" w:rsidRPr="00957210">
        <w:rPr>
          <w:rFonts w:ascii="Times New Roman" w:hAnsi="Times New Roman"/>
          <w:sz w:val="24"/>
          <w:szCs w:val="24"/>
        </w:rPr>
        <w:t xml:space="preserve"> in I.09-01-017</w:t>
      </w:r>
      <w:r w:rsidRPr="00957210">
        <w:rPr>
          <w:rFonts w:ascii="Times New Roman" w:hAnsi="Times New Roman"/>
          <w:sz w:val="24"/>
          <w:szCs w:val="24"/>
        </w:rPr>
        <w:t>.</w:t>
      </w:r>
      <w:r w:rsidRPr="00957210">
        <w:rPr>
          <w:rStyle w:val="FootnoteReference"/>
          <w:rFonts w:ascii="Times New Roman" w:hAnsi="Times New Roman"/>
          <w:sz w:val="24"/>
          <w:szCs w:val="24"/>
        </w:rPr>
        <w:footnoteReference w:id="34"/>
      </w:r>
      <w:r w:rsidRPr="00957210">
        <w:rPr>
          <w:rFonts w:ascii="Times New Roman" w:hAnsi="Times New Roman"/>
          <w:sz w:val="24"/>
          <w:szCs w:val="24"/>
        </w:rPr>
        <w:t xml:space="preserve">  </w:t>
      </w:r>
      <w:r w:rsidR="00854291" w:rsidRPr="00957210">
        <w:rPr>
          <w:rFonts w:ascii="Times New Roman" w:hAnsi="Times New Roman"/>
          <w:sz w:val="24"/>
          <w:szCs w:val="24"/>
        </w:rPr>
        <w:t xml:space="preserve">The 2009 </w:t>
      </w:r>
      <w:r w:rsidRPr="00957210">
        <w:rPr>
          <w:rFonts w:ascii="Times New Roman" w:hAnsi="Times New Roman"/>
          <w:sz w:val="24"/>
          <w:szCs w:val="24"/>
        </w:rPr>
        <w:t xml:space="preserve">Commission </w:t>
      </w:r>
      <w:r w:rsidR="00854291" w:rsidRPr="00957210">
        <w:rPr>
          <w:rFonts w:ascii="Times New Roman" w:hAnsi="Times New Roman"/>
          <w:sz w:val="24"/>
          <w:szCs w:val="24"/>
        </w:rPr>
        <w:t xml:space="preserve">enforcement action </w:t>
      </w:r>
      <w:r w:rsidRPr="00957210">
        <w:rPr>
          <w:rFonts w:ascii="Times New Roman" w:hAnsi="Times New Roman"/>
          <w:sz w:val="24"/>
          <w:szCs w:val="24"/>
        </w:rPr>
        <w:t>against C</w:t>
      </w:r>
      <w:r w:rsidR="00415330" w:rsidRPr="00957210">
        <w:rPr>
          <w:rFonts w:ascii="Times New Roman" w:hAnsi="Times New Roman"/>
          <w:sz w:val="24"/>
          <w:szCs w:val="24"/>
        </w:rPr>
        <w:t xml:space="preserve">onstellation New Energy </w:t>
      </w:r>
      <w:r w:rsidRPr="00957210">
        <w:rPr>
          <w:rFonts w:ascii="Times New Roman" w:hAnsi="Times New Roman"/>
          <w:sz w:val="24"/>
          <w:szCs w:val="24"/>
        </w:rPr>
        <w:t xml:space="preserve">for </w:t>
      </w:r>
      <w:r w:rsidR="00B414BC" w:rsidRPr="00957210">
        <w:rPr>
          <w:rFonts w:ascii="Times New Roman" w:hAnsi="Times New Roman"/>
          <w:sz w:val="24"/>
          <w:szCs w:val="24"/>
        </w:rPr>
        <w:t>under procurement</w:t>
      </w:r>
      <w:r w:rsidR="00415330" w:rsidRPr="00957210">
        <w:rPr>
          <w:rFonts w:ascii="Times New Roman" w:hAnsi="Times New Roman"/>
          <w:sz w:val="24"/>
          <w:szCs w:val="24"/>
        </w:rPr>
        <w:t xml:space="preserve"> related to 2009 compliance year filings</w:t>
      </w:r>
      <w:r w:rsidR="00BB2D00" w:rsidRPr="00957210">
        <w:rPr>
          <w:rFonts w:ascii="Times New Roman" w:hAnsi="Times New Roman"/>
          <w:sz w:val="24"/>
          <w:szCs w:val="24"/>
        </w:rPr>
        <w:t xml:space="preserve"> and</w:t>
      </w:r>
      <w:r w:rsidR="00854291" w:rsidRPr="00957210">
        <w:rPr>
          <w:rFonts w:ascii="Times New Roman" w:hAnsi="Times New Roman"/>
          <w:sz w:val="24"/>
          <w:szCs w:val="24"/>
        </w:rPr>
        <w:t xml:space="preserve"> reached a settlement</w:t>
      </w:r>
      <w:r w:rsidR="00743AB6" w:rsidRPr="00957210">
        <w:rPr>
          <w:rFonts w:ascii="Times New Roman" w:hAnsi="Times New Roman"/>
          <w:sz w:val="24"/>
          <w:szCs w:val="24"/>
        </w:rPr>
        <w:t xml:space="preserve"> of $300,000</w:t>
      </w:r>
      <w:r w:rsidR="00854291" w:rsidRPr="00957210">
        <w:rPr>
          <w:rFonts w:ascii="Times New Roman" w:hAnsi="Times New Roman"/>
          <w:sz w:val="24"/>
          <w:szCs w:val="24"/>
        </w:rPr>
        <w:t xml:space="preserve"> in I.10-04-010</w:t>
      </w:r>
      <w:r w:rsidRPr="00957210">
        <w:rPr>
          <w:rFonts w:ascii="Times New Roman" w:hAnsi="Times New Roman"/>
          <w:sz w:val="24"/>
          <w:szCs w:val="24"/>
        </w:rPr>
        <w:t xml:space="preserve"> on March 10, 2011.</w:t>
      </w:r>
      <w:r w:rsidRPr="00957210">
        <w:rPr>
          <w:rStyle w:val="FootnoteReference"/>
          <w:rFonts w:ascii="Times New Roman" w:hAnsi="Times New Roman"/>
          <w:sz w:val="24"/>
          <w:szCs w:val="24"/>
        </w:rPr>
        <w:footnoteReference w:id="35"/>
      </w:r>
      <w:r w:rsidRPr="00957210">
        <w:rPr>
          <w:rFonts w:ascii="Times New Roman" w:hAnsi="Times New Roman"/>
        </w:rPr>
        <w:t xml:space="preserve">  </w:t>
      </w:r>
      <w:r w:rsidR="00854291" w:rsidRPr="00957210">
        <w:rPr>
          <w:rFonts w:ascii="Times New Roman" w:hAnsi="Times New Roman"/>
          <w:sz w:val="24"/>
          <w:szCs w:val="24"/>
        </w:rPr>
        <w:t>The 2011 Commission enforcement case against PG&amp;E for failure to comply with the Month-ahead RA obligations</w:t>
      </w:r>
      <w:r w:rsidR="00743AB6" w:rsidRPr="00957210">
        <w:rPr>
          <w:rFonts w:ascii="Times New Roman" w:hAnsi="Times New Roman"/>
          <w:sz w:val="24"/>
          <w:szCs w:val="24"/>
        </w:rPr>
        <w:t xml:space="preserve"> </w:t>
      </w:r>
      <w:r w:rsidR="00BB2D00" w:rsidRPr="00957210">
        <w:rPr>
          <w:rFonts w:ascii="Times New Roman" w:hAnsi="Times New Roman"/>
          <w:sz w:val="24"/>
          <w:szCs w:val="24"/>
        </w:rPr>
        <w:t xml:space="preserve">and </w:t>
      </w:r>
      <w:r w:rsidR="00743AB6" w:rsidRPr="00957210">
        <w:rPr>
          <w:rFonts w:ascii="Times New Roman" w:hAnsi="Times New Roman"/>
          <w:sz w:val="24"/>
          <w:szCs w:val="24"/>
        </w:rPr>
        <w:t xml:space="preserve">reached </w:t>
      </w:r>
      <w:r w:rsidR="00854291" w:rsidRPr="00957210">
        <w:rPr>
          <w:rFonts w:ascii="Times New Roman" w:hAnsi="Times New Roman"/>
          <w:sz w:val="24"/>
          <w:szCs w:val="24"/>
        </w:rPr>
        <w:t xml:space="preserve">settlement of $215,000 in Decision 12-02-030 under OII 11-06-011.  </w:t>
      </w:r>
    </w:p>
    <w:p w:rsidR="00AE7D50" w:rsidRPr="00AD151D" w:rsidRDefault="00AE7D50" w:rsidP="004D507D">
      <w:pPr>
        <w:pStyle w:val="Caption"/>
        <w:widowControl w:val="0"/>
        <w:spacing w:before="120"/>
        <w:rPr>
          <w:sz w:val="22"/>
        </w:rPr>
      </w:pPr>
      <w:bookmarkStart w:id="132" w:name="_Ref224719704"/>
      <w:bookmarkStart w:id="133" w:name="_Toc347827086"/>
      <w:r w:rsidRPr="00AD151D">
        <w:rPr>
          <w:sz w:val="22"/>
        </w:rPr>
        <w:t xml:space="preserve">Table </w:t>
      </w:r>
      <w:r w:rsidRPr="00AD151D">
        <w:rPr>
          <w:sz w:val="22"/>
        </w:rPr>
        <w:fldChar w:fldCharType="begin"/>
      </w:r>
      <w:r w:rsidRPr="00AD151D">
        <w:rPr>
          <w:sz w:val="22"/>
        </w:rPr>
        <w:instrText xml:space="preserve"> SEQ Table \* ARABIC </w:instrText>
      </w:r>
      <w:r w:rsidRPr="00AD151D">
        <w:rPr>
          <w:sz w:val="22"/>
        </w:rPr>
        <w:fldChar w:fldCharType="separate"/>
      </w:r>
      <w:r w:rsidR="00B3535E">
        <w:rPr>
          <w:noProof/>
          <w:sz w:val="22"/>
        </w:rPr>
        <w:t>16</w:t>
      </w:r>
      <w:r w:rsidRPr="00AD151D">
        <w:rPr>
          <w:sz w:val="22"/>
        </w:rPr>
        <w:fldChar w:fldCharType="end"/>
      </w:r>
      <w:bookmarkEnd w:id="132"/>
      <w:r w:rsidRPr="00AD151D">
        <w:rPr>
          <w:sz w:val="22"/>
        </w:rPr>
        <w:t>. Enforcement Summary Pursuant to the RA program since 2006</w:t>
      </w:r>
      <w:bookmarkEnd w:id="133"/>
    </w:p>
    <w:tbl>
      <w:tblPr>
        <w:tblW w:w="8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1138"/>
        <w:gridCol w:w="990"/>
        <w:gridCol w:w="1080"/>
        <w:gridCol w:w="1620"/>
        <w:gridCol w:w="990"/>
        <w:gridCol w:w="1170"/>
        <w:gridCol w:w="810"/>
        <w:gridCol w:w="810"/>
      </w:tblGrid>
      <w:tr w:rsidR="004D507D" w:rsidRPr="00AD151D" w:rsidTr="00E34EEA">
        <w:trPr>
          <w:trHeight w:val="470"/>
        </w:trPr>
        <w:tc>
          <w:tcPr>
            <w:tcW w:w="1138" w:type="dxa"/>
            <w:vAlign w:val="bottom"/>
          </w:tcPr>
          <w:p w:rsidR="00AE7D50" w:rsidRPr="00AD151D" w:rsidRDefault="00AE7D50" w:rsidP="004D507D">
            <w:pPr>
              <w:widowControl w:val="0"/>
              <w:jc w:val="center"/>
              <w:rPr>
                <w:b/>
                <w:bCs/>
                <w:sz w:val="18"/>
                <w:szCs w:val="18"/>
              </w:rPr>
            </w:pPr>
            <w:r w:rsidRPr="00AD151D">
              <w:rPr>
                <w:b/>
                <w:bCs/>
                <w:sz w:val="18"/>
                <w:szCs w:val="18"/>
              </w:rPr>
              <w:t>Compliance Year</w:t>
            </w:r>
          </w:p>
        </w:tc>
        <w:tc>
          <w:tcPr>
            <w:tcW w:w="990" w:type="dxa"/>
            <w:vAlign w:val="bottom"/>
          </w:tcPr>
          <w:p w:rsidR="00AE7D50" w:rsidRPr="00AD151D" w:rsidRDefault="00AE7D50" w:rsidP="004D507D">
            <w:pPr>
              <w:widowControl w:val="0"/>
              <w:jc w:val="center"/>
              <w:rPr>
                <w:b/>
                <w:bCs/>
                <w:sz w:val="18"/>
                <w:szCs w:val="18"/>
              </w:rPr>
            </w:pPr>
            <w:r w:rsidRPr="00AD151D">
              <w:rPr>
                <w:b/>
                <w:bCs/>
                <w:sz w:val="18"/>
                <w:szCs w:val="18"/>
              </w:rPr>
              <w:t>2006</w:t>
            </w:r>
          </w:p>
        </w:tc>
        <w:tc>
          <w:tcPr>
            <w:tcW w:w="1080" w:type="dxa"/>
            <w:vAlign w:val="bottom"/>
          </w:tcPr>
          <w:p w:rsidR="00AE7D50" w:rsidRPr="00AD151D" w:rsidRDefault="00AE7D50" w:rsidP="004D507D">
            <w:pPr>
              <w:widowControl w:val="0"/>
              <w:jc w:val="center"/>
              <w:rPr>
                <w:b/>
                <w:bCs/>
                <w:sz w:val="18"/>
                <w:szCs w:val="18"/>
              </w:rPr>
            </w:pPr>
            <w:r w:rsidRPr="00AD151D">
              <w:rPr>
                <w:b/>
                <w:bCs/>
                <w:sz w:val="18"/>
                <w:szCs w:val="18"/>
              </w:rPr>
              <w:t>2007</w:t>
            </w:r>
          </w:p>
        </w:tc>
        <w:tc>
          <w:tcPr>
            <w:tcW w:w="1620" w:type="dxa"/>
            <w:vAlign w:val="bottom"/>
          </w:tcPr>
          <w:p w:rsidR="00AE7D50" w:rsidRPr="00AD151D" w:rsidRDefault="00AE7D50" w:rsidP="004D507D">
            <w:pPr>
              <w:widowControl w:val="0"/>
              <w:jc w:val="center"/>
              <w:rPr>
                <w:b/>
                <w:bCs/>
                <w:sz w:val="18"/>
                <w:szCs w:val="18"/>
              </w:rPr>
            </w:pPr>
            <w:r w:rsidRPr="00AD151D">
              <w:rPr>
                <w:b/>
                <w:bCs/>
                <w:sz w:val="18"/>
                <w:szCs w:val="18"/>
              </w:rPr>
              <w:t>2008</w:t>
            </w:r>
          </w:p>
        </w:tc>
        <w:tc>
          <w:tcPr>
            <w:tcW w:w="990" w:type="dxa"/>
            <w:vAlign w:val="bottom"/>
          </w:tcPr>
          <w:p w:rsidR="00AE7D50" w:rsidRPr="00AD151D" w:rsidRDefault="00AE7D50" w:rsidP="004D507D">
            <w:pPr>
              <w:widowControl w:val="0"/>
              <w:jc w:val="center"/>
              <w:rPr>
                <w:b/>
                <w:bCs/>
                <w:sz w:val="18"/>
                <w:szCs w:val="18"/>
              </w:rPr>
            </w:pPr>
            <w:r w:rsidRPr="00AD151D">
              <w:rPr>
                <w:b/>
                <w:bCs/>
                <w:sz w:val="18"/>
                <w:szCs w:val="18"/>
              </w:rPr>
              <w:t>2009</w:t>
            </w:r>
          </w:p>
        </w:tc>
        <w:tc>
          <w:tcPr>
            <w:tcW w:w="1170" w:type="dxa"/>
            <w:vAlign w:val="bottom"/>
          </w:tcPr>
          <w:p w:rsidR="00AE7D50" w:rsidRPr="00AD151D" w:rsidRDefault="00AE7D50" w:rsidP="004D507D">
            <w:pPr>
              <w:widowControl w:val="0"/>
              <w:jc w:val="center"/>
              <w:rPr>
                <w:b/>
                <w:bCs/>
                <w:sz w:val="18"/>
                <w:szCs w:val="18"/>
              </w:rPr>
            </w:pPr>
            <w:r w:rsidRPr="00AD151D">
              <w:rPr>
                <w:b/>
                <w:bCs/>
                <w:sz w:val="18"/>
                <w:szCs w:val="18"/>
              </w:rPr>
              <w:t>2010</w:t>
            </w:r>
          </w:p>
        </w:tc>
        <w:tc>
          <w:tcPr>
            <w:tcW w:w="810" w:type="dxa"/>
            <w:vAlign w:val="bottom"/>
          </w:tcPr>
          <w:p w:rsidR="00AE7D50" w:rsidRPr="00AD151D" w:rsidRDefault="00AE7D50" w:rsidP="004D507D">
            <w:pPr>
              <w:widowControl w:val="0"/>
              <w:jc w:val="center"/>
              <w:rPr>
                <w:b/>
                <w:sz w:val="18"/>
                <w:szCs w:val="18"/>
              </w:rPr>
            </w:pPr>
            <w:r w:rsidRPr="00AD151D">
              <w:rPr>
                <w:b/>
                <w:sz w:val="18"/>
                <w:szCs w:val="18"/>
              </w:rPr>
              <w:t>2011</w:t>
            </w:r>
          </w:p>
        </w:tc>
        <w:tc>
          <w:tcPr>
            <w:tcW w:w="810" w:type="dxa"/>
            <w:vAlign w:val="bottom"/>
          </w:tcPr>
          <w:p w:rsidR="00AE7D50" w:rsidRPr="00AD151D" w:rsidRDefault="00AE7D50" w:rsidP="004D507D">
            <w:pPr>
              <w:widowControl w:val="0"/>
              <w:jc w:val="center"/>
              <w:rPr>
                <w:b/>
                <w:bCs/>
                <w:sz w:val="18"/>
                <w:szCs w:val="18"/>
              </w:rPr>
            </w:pPr>
            <w:r w:rsidRPr="00AD151D">
              <w:rPr>
                <w:b/>
                <w:bCs/>
                <w:sz w:val="18"/>
                <w:szCs w:val="18"/>
              </w:rPr>
              <w:t>Total</w:t>
            </w:r>
          </w:p>
        </w:tc>
      </w:tr>
      <w:tr w:rsidR="004D507D" w:rsidRPr="00AD151D" w:rsidTr="00E34EEA">
        <w:trPr>
          <w:trHeight w:val="242"/>
        </w:trPr>
        <w:tc>
          <w:tcPr>
            <w:tcW w:w="1138" w:type="dxa"/>
            <w:vAlign w:val="bottom"/>
          </w:tcPr>
          <w:p w:rsidR="00AE7D50" w:rsidRPr="004D507D" w:rsidRDefault="00AE7D50" w:rsidP="004D507D">
            <w:pPr>
              <w:widowControl w:val="0"/>
              <w:jc w:val="center"/>
              <w:rPr>
                <w:b/>
                <w:bCs/>
                <w:sz w:val="18"/>
                <w:szCs w:val="18"/>
              </w:rPr>
            </w:pPr>
            <w:r w:rsidRPr="004D507D">
              <w:rPr>
                <w:b/>
                <w:bCs/>
                <w:sz w:val="18"/>
                <w:szCs w:val="18"/>
              </w:rPr>
              <w:t>Citations</w:t>
            </w:r>
          </w:p>
        </w:tc>
        <w:tc>
          <w:tcPr>
            <w:tcW w:w="990" w:type="dxa"/>
            <w:vAlign w:val="bottom"/>
          </w:tcPr>
          <w:p w:rsidR="00AE7D50" w:rsidRPr="004D507D" w:rsidRDefault="00AE7D50" w:rsidP="004D507D">
            <w:pPr>
              <w:widowControl w:val="0"/>
              <w:jc w:val="center"/>
              <w:rPr>
                <w:b/>
                <w:sz w:val="18"/>
                <w:szCs w:val="18"/>
              </w:rPr>
            </w:pPr>
            <w:r w:rsidRPr="004D507D">
              <w:rPr>
                <w:b/>
                <w:sz w:val="18"/>
                <w:szCs w:val="18"/>
              </w:rPr>
              <w:t>1</w:t>
            </w:r>
          </w:p>
        </w:tc>
        <w:tc>
          <w:tcPr>
            <w:tcW w:w="1080" w:type="dxa"/>
            <w:vAlign w:val="bottom"/>
          </w:tcPr>
          <w:p w:rsidR="00AE7D50" w:rsidRPr="004D507D" w:rsidRDefault="00AE7D50" w:rsidP="004D507D">
            <w:pPr>
              <w:widowControl w:val="0"/>
              <w:jc w:val="center"/>
              <w:rPr>
                <w:b/>
                <w:sz w:val="18"/>
                <w:szCs w:val="18"/>
              </w:rPr>
            </w:pPr>
            <w:r w:rsidRPr="004D507D">
              <w:rPr>
                <w:b/>
                <w:sz w:val="18"/>
                <w:szCs w:val="18"/>
              </w:rPr>
              <w:t>3</w:t>
            </w:r>
          </w:p>
        </w:tc>
        <w:tc>
          <w:tcPr>
            <w:tcW w:w="1620" w:type="dxa"/>
            <w:vAlign w:val="bottom"/>
          </w:tcPr>
          <w:p w:rsidR="00AE7D50" w:rsidRPr="004D507D" w:rsidRDefault="00AE7D50" w:rsidP="004D507D">
            <w:pPr>
              <w:widowControl w:val="0"/>
              <w:jc w:val="center"/>
              <w:rPr>
                <w:b/>
                <w:sz w:val="18"/>
                <w:szCs w:val="18"/>
              </w:rPr>
            </w:pPr>
            <w:r w:rsidRPr="004D507D">
              <w:rPr>
                <w:b/>
                <w:sz w:val="18"/>
                <w:szCs w:val="18"/>
              </w:rPr>
              <w:t>7</w:t>
            </w:r>
          </w:p>
        </w:tc>
        <w:tc>
          <w:tcPr>
            <w:tcW w:w="990" w:type="dxa"/>
            <w:vAlign w:val="bottom"/>
          </w:tcPr>
          <w:p w:rsidR="00AE7D50" w:rsidRPr="004D507D" w:rsidRDefault="00AE7D50" w:rsidP="004D507D">
            <w:pPr>
              <w:widowControl w:val="0"/>
              <w:jc w:val="center"/>
              <w:rPr>
                <w:b/>
                <w:sz w:val="18"/>
                <w:szCs w:val="18"/>
              </w:rPr>
            </w:pPr>
            <w:r w:rsidRPr="004D507D">
              <w:rPr>
                <w:b/>
                <w:sz w:val="18"/>
                <w:szCs w:val="18"/>
              </w:rPr>
              <w:t>4</w:t>
            </w:r>
          </w:p>
        </w:tc>
        <w:tc>
          <w:tcPr>
            <w:tcW w:w="1170" w:type="dxa"/>
            <w:vAlign w:val="bottom"/>
          </w:tcPr>
          <w:p w:rsidR="00AE7D50" w:rsidRPr="004D507D" w:rsidRDefault="00AE7D50" w:rsidP="004D507D">
            <w:pPr>
              <w:widowControl w:val="0"/>
              <w:jc w:val="center"/>
              <w:rPr>
                <w:b/>
                <w:sz w:val="18"/>
                <w:szCs w:val="18"/>
              </w:rPr>
            </w:pPr>
            <w:r w:rsidRPr="004D507D">
              <w:rPr>
                <w:b/>
                <w:sz w:val="18"/>
                <w:szCs w:val="18"/>
              </w:rPr>
              <w:t>5</w:t>
            </w:r>
          </w:p>
        </w:tc>
        <w:tc>
          <w:tcPr>
            <w:tcW w:w="810" w:type="dxa"/>
            <w:vAlign w:val="bottom"/>
          </w:tcPr>
          <w:p w:rsidR="00AE7D50" w:rsidRPr="004D507D" w:rsidRDefault="00AE7D50" w:rsidP="004D507D">
            <w:pPr>
              <w:widowControl w:val="0"/>
              <w:jc w:val="center"/>
              <w:rPr>
                <w:b/>
                <w:sz w:val="18"/>
                <w:szCs w:val="18"/>
              </w:rPr>
            </w:pPr>
            <w:r w:rsidRPr="004D507D">
              <w:rPr>
                <w:b/>
                <w:sz w:val="18"/>
                <w:szCs w:val="18"/>
              </w:rPr>
              <w:t>2</w:t>
            </w:r>
          </w:p>
        </w:tc>
        <w:tc>
          <w:tcPr>
            <w:tcW w:w="810" w:type="dxa"/>
            <w:vAlign w:val="bottom"/>
          </w:tcPr>
          <w:p w:rsidR="00AE7D50" w:rsidRPr="004D507D" w:rsidRDefault="00AE7D50" w:rsidP="004D507D">
            <w:pPr>
              <w:widowControl w:val="0"/>
              <w:jc w:val="center"/>
              <w:rPr>
                <w:b/>
                <w:sz w:val="18"/>
                <w:szCs w:val="18"/>
              </w:rPr>
            </w:pPr>
            <w:r w:rsidRPr="004D507D">
              <w:rPr>
                <w:b/>
                <w:sz w:val="18"/>
                <w:szCs w:val="18"/>
              </w:rPr>
              <w:t>22</w:t>
            </w:r>
          </w:p>
        </w:tc>
      </w:tr>
      <w:tr w:rsidR="004D507D" w:rsidRPr="00AD151D" w:rsidTr="00E34EEA">
        <w:trPr>
          <w:trHeight w:val="1088"/>
        </w:trPr>
        <w:tc>
          <w:tcPr>
            <w:tcW w:w="1138" w:type="dxa"/>
            <w:vAlign w:val="bottom"/>
          </w:tcPr>
          <w:p w:rsidR="00AE7D50" w:rsidRPr="00AD151D" w:rsidRDefault="00AE7D50" w:rsidP="004D507D">
            <w:pPr>
              <w:widowControl w:val="0"/>
              <w:jc w:val="center"/>
              <w:rPr>
                <w:b/>
                <w:bCs/>
                <w:sz w:val="18"/>
                <w:szCs w:val="18"/>
              </w:rPr>
            </w:pPr>
            <w:r w:rsidRPr="00AD151D">
              <w:rPr>
                <w:b/>
                <w:bCs/>
                <w:sz w:val="18"/>
                <w:szCs w:val="18"/>
              </w:rPr>
              <w:t>LSEs cited</w:t>
            </w:r>
          </w:p>
        </w:tc>
        <w:tc>
          <w:tcPr>
            <w:tcW w:w="990" w:type="dxa"/>
            <w:vAlign w:val="bottom"/>
          </w:tcPr>
          <w:p w:rsidR="00AE7D50" w:rsidRPr="00AD151D" w:rsidRDefault="00AE7D50" w:rsidP="004D507D">
            <w:pPr>
              <w:widowControl w:val="0"/>
              <w:jc w:val="center"/>
              <w:rPr>
                <w:sz w:val="18"/>
                <w:szCs w:val="18"/>
              </w:rPr>
            </w:pPr>
            <w:r w:rsidRPr="00AD151D">
              <w:rPr>
                <w:sz w:val="18"/>
                <w:szCs w:val="18"/>
              </w:rPr>
              <w:t>Commerce Energy</w:t>
            </w:r>
          </w:p>
        </w:tc>
        <w:tc>
          <w:tcPr>
            <w:tcW w:w="1080" w:type="dxa"/>
            <w:vAlign w:val="bottom"/>
          </w:tcPr>
          <w:p w:rsidR="00AE7D50" w:rsidRPr="00AD151D" w:rsidRDefault="00586B1F" w:rsidP="004D507D">
            <w:pPr>
              <w:widowControl w:val="0"/>
              <w:jc w:val="center"/>
              <w:rPr>
                <w:sz w:val="18"/>
                <w:szCs w:val="18"/>
              </w:rPr>
            </w:pPr>
            <w:r>
              <w:rPr>
                <w:sz w:val="18"/>
                <w:szCs w:val="18"/>
              </w:rPr>
              <w:t>3Phases</w:t>
            </w:r>
            <w:r w:rsidR="00AE7D50" w:rsidRPr="00AD151D">
              <w:rPr>
                <w:sz w:val="18"/>
                <w:szCs w:val="18"/>
              </w:rPr>
              <w:t>; Commerce Energy; Amer</w:t>
            </w:r>
            <w:r w:rsidR="004D507D">
              <w:rPr>
                <w:sz w:val="18"/>
                <w:szCs w:val="18"/>
              </w:rPr>
              <w:t>.</w:t>
            </w:r>
            <w:r w:rsidR="00AE7D50" w:rsidRPr="00AD151D">
              <w:rPr>
                <w:sz w:val="18"/>
                <w:szCs w:val="18"/>
              </w:rPr>
              <w:t xml:space="preserve"> Util</w:t>
            </w:r>
            <w:r w:rsidR="004D507D">
              <w:rPr>
                <w:sz w:val="18"/>
                <w:szCs w:val="18"/>
              </w:rPr>
              <w:t>.</w:t>
            </w:r>
            <w:r w:rsidR="00AE7D50" w:rsidRPr="00AD151D">
              <w:rPr>
                <w:sz w:val="18"/>
                <w:szCs w:val="18"/>
              </w:rPr>
              <w:t xml:space="preserve"> Network</w:t>
            </w:r>
          </w:p>
        </w:tc>
        <w:tc>
          <w:tcPr>
            <w:tcW w:w="1620" w:type="dxa"/>
            <w:vAlign w:val="bottom"/>
          </w:tcPr>
          <w:p w:rsidR="00AE7D50" w:rsidRPr="00AD151D" w:rsidRDefault="00586B1F" w:rsidP="004D507D">
            <w:pPr>
              <w:widowControl w:val="0"/>
              <w:jc w:val="center"/>
              <w:rPr>
                <w:sz w:val="18"/>
                <w:szCs w:val="18"/>
              </w:rPr>
            </w:pPr>
            <w:r>
              <w:rPr>
                <w:sz w:val="18"/>
                <w:szCs w:val="18"/>
              </w:rPr>
              <w:t>3Phases</w:t>
            </w:r>
            <w:r w:rsidR="00AE7D50" w:rsidRPr="00AD151D">
              <w:rPr>
                <w:sz w:val="18"/>
                <w:szCs w:val="18"/>
              </w:rPr>
              <w:t xml:space="preserve"> (2);Commerce Energy (2); Corona DWP; Sempra Energy; Shell Energy</w:t>
            </w:r>
          </w:p>
        </w:tc>
        <w:tc>
          <w:tcPr>
            <w:tcW w:w="990" w:type="dxa"/>
            <w:vAlign w:val="bottom"/>
          </w:tcPr>
          <w:p w:rsidR="00AE7D50" w:rsidRPr="00AD151D" w:rsidRDefault="00AE7D50" w:rsidP="004D507D">
            <w:pPr>
              <w:widowControl w:val="0"/>
              <w:jc w:val="center"/>
              <w:rPr>
                <w:sz w:val="18"/>
                <w:szCs w:val="18"/>
              </w:rPr>
            </w:pPr>
            <w:r w:rsidRPr="00AD151D">
              <w:rPr>
                <w:sz w:val="18"/>
                <w:szCs w:val="18"/>
              </w:rPr>
              <w:t>Commerce Energy (3); CNE</w:t>
            </w:r>
          </w:p>
        </w:tc>
        <w:tc>
          <w:tcPr>
            <w:tcW w:w="1170" w:type="dxa"/>
            <w:vAlign w:val="bottom"/>
          </w:tcPr>
          <w:p w:rsidR="00AE7D50" w:rsidRPr="00AD151D" w:rsidRDefault="00AE7D50" w:rsidP="004D507D">
            <w:pPr>
              <w:widowControl w:val="0"/>
              <w:jc w:val="center"/>
              <w:rPr>
                <w:sz w:val="18"/>
                <w:szCs w:val="18"/>
              </w:rPr>
            </w:pPr>
            <w:r w:rsidRPr="00AD151D">
              <w:rPr>
                <w:sz w:val="18"/>
                <w:szCs w:val="18"/>
              </w:rPr>
              <w:t>Commerce Energy; Pilot Power (2), Dir</w:t>
            </w:r>
            <w:r w:rsidR="004D507D">
              <w:rPr>
                <w:sz w:val="18"/>
                <w:szCs w:val="18"/>
              </w:rPr>
              <w:t>.</w:t>
            </w:r>
            <w:r w:rsidRPr="00AD151D">
              <w:rPr>
                <w:sz w:val="18"/>
                <w:szCs w:val="18"/>
              </w:rPr>
              <w:t xml:space="preserve"> Energy Bus</w:t>
            </w:r>
            <w:r w:rsidR="004D507D">
              <w:rPr>
                <w:sz w:val="18"/>
                <w:szCs w:val="18"/>
              </w:rPr>
              <w:t>.</w:t>
            </w:r>
            <w:r w:rsidRPr="00AD151D">
              <w:rPr>
                <w:sz w:val="18"/>
                <w:szCs w:val="18"/>
              </w:rPr>
              <w:t>, SDG&amp;E</w:t>
            </w:r>
          </w:p>
        </w:tc>
        <w:tc>
          <w:tcPr>
            <w:tcW w:w="810" w:type="dxa"/>
            <w:vAlign w:val="bottom"/>
          </w:tcPr>
          <w:p w:rsidR="00AE7D50" w:rsidRPr="00AD151D" w:rsidRDefault="00AE7D50" w:rsidP="004D507D">
            <w:pPr>
              <w:widowControl w:val="0"/>
              <w:jc w:val="center"/>
              <w:rPr>
                <w:sz w:val="18"/>
                <w:szCs w:val="18"/>
              </w:rPr>
            </w:pPr>
            <w:r w:rsidRPr="00AD151D">
              <w:rPr>
                <w:sz w:val="18"/>
                <w:szCs w:val="18"/>
              </w:rPr>
              <w:t>Liberty Power; Tiger Nat Gas</w:t>
            </w:r>
          </w:p>
        </w:tc>
        <w:tc>
          <w:tcPr>
            <w:tcW w:w="810" w:type="dxa"/>
            <w:vAlign w:val="bottom"/>
          </w:tcPr>
          <w:p w:rsidR="00AE7D50" w:rsidRPr="00AD151D" w:rsidRDefault="00AE7D50" w:rsidP="004D507D">
            <w:pPr>
              <w:widowControl w:val="0"/>
              <w:jc w:val="center"/>
              <w:rPr>
                <w:sz w:val="18"/>
                <w:szCs w:val="18"/>
              </w:rPr>
            </w:pPr>
          </w:p>
        </w:tc>
      </w:tr>
      <w:tr w:rsidR="004D507D" w:rsidRPr="00AD151D" w:rsidTr="00E34EEA">
        <w:trPr>
          <w:trHeight w:val="602"/>
        </w:trPr>
        <w:tc>
          <w:tcPr>
            <w:tcW w:w="1138" w:type="dxa"/>
            <w:vAlign w:val="bottom"/>
          </w:tcPr>
          <w:p w:rsidR="00AE7D50" w:rsidRPr="00AD151D" w:rsidRDefault="00AE7D50" w:rsidP="004D507D">
            <w:pPr>
              <w:widowControl w:val="0"/>
              <w:jc w:val="center"/>
              <w:rPr>
                <w:b/>
                <w:bCs/>
                <w:sz w:val="18"/>
                <w:szCs w:val="18"/>
              </w:rPr>
            </w:pPr>
            <w:r w:rsidRPr="00AD151D">
              <w:rPr>
                <w:b/>
                <w:bCs/>
                <w:sz w:val="18"/>
                <w:szCs w:val="18"/>
              </w:rPr>
              <w:t>Penalties paid on citations</w:t>
            </w:r>
          </w:p>
        </w:tc>
        <w:tc>
          <w:tcPr>
            <w:tcW w:w="990" w:type="dxa"/>
            <w:vAlign w:val="bottom"/>
          </w:tcPr>
          <w:p w:rsidR="00AE7D50" w:rsidRPr="00AD151D" w:rsidRDefault="00AE7D50" w:rsidP="004D507D">
            <w:pPr>
              <w:widowControl w:val="0"/>
              <w:jc w:val="center"/>
              <w:rPr>
                <w:sz w:val="18"/>
                <w:szCs w:val="18"/>
              </w:rPr>
            </w:pPr>
            <w:r w:rsidRPr="00AD151D">
              <w:rPr>
                <w:sz w:val="18"/>
                <w:szCs w:val="18"/>
              </w:rPr>
              <w:t>$1,500</w:t>
            </w:r>
          </w:p>
        </w:tc>
        <w:tc>
          <w:tcPr>
            <w:tcW w:w="1080" w:type="dxa"/>
            <w:vAlign w:val="bottom"/>
          </w:tcPr>
          <w:p w:rsidR="00AE7D50" w:rsidRPr="00AD151D" w:rsidRDefault="00AE7D50" w:rsidP="004D507D">
            <w:pPr>
              <w:widowControl w:val="0"/>
              <w:jc w:val="center"/>
              <w:rPr>
                <w:sz w:val="18"/>
                <w:szCs w:val="18"/>
              </w:rPr>
            </w:pPr>
            <w:r w:rsidRPr="00AD151D">
              <w:rPr>
                <w:sz w:val="18"/>
                <w:szCs w:val="18"/>
              </w:rPr>
              <w:t>$5,000</w:t>
            </w:r>
          </w:p>
        </w:tc>
        <w:tc>
          <w:tcPr>
            <w:tcW w:w="1620" w:type="dxa"/>
            <w:vAlign w:val="bottom"/>
          </w:tcPr>
          <w:p w:rsidR="00AE7D50" w:rsidRPr="00AD151D" w:rsidRDefault="00AE7D50" w:rsidP="004D507D">
            <w:pPr>
              <w:widowControl w:val="0"/>
              <w:jc w:val="center"/>
              <w:rPr>
                <w:sz w:val="18"/>
                <w:szCs w:val="18"/>
              </w:rPr>
            </w:pPr>
            <w:r w:rsidRPr="00AD151D">
              <w:rPr>
                <w:sz w:val="18"/>
                <w:szCs w:val="18"/>
              </w:rPr>
              <w:t>$17,000</w:t>
            </w:r>
          </w:p>
        </w:tc>
        <w:tc>
          <w:tcPr>
            <w:tcW w:w="990" w:type="dxa"/>
            <w:vAlign w:val="bottom"/>
          </w:tcPr>
          <w:p w:rsidR="00AE7D50" w:rsidRPr="00AD151D" w:rsidRDefault="00AE7D50" w:rsidP="004D507D">
            <w:pPr>
              <w:widowControl w:val="0"/>
              <w:jc w:val="center"/>
              <w:rPr>
                <w:sz w:val="18"/>
                <w:szCs w:val="18"/>
              </w:rPr>
            </w:pPr>
            <w:r w:rsidRPr="00AD151D">
              <w:rPr>
                <w:sz w:val="18"/>
                <w:szCs w:val="18"/>
              </w:rPr>
              <w:t>$26,500</w:t>
            </w:r>
          </w:p>
        </w:tc>
        <w:tc>
          <w:tcPr>
            <w:tcW w:w="1170" w:type="dxa"/>
            <w:vAlign w:val="bottom"/>
          </w:tcPr>
          <w:p w:rsidR="00AE7D50" w:rsidRPr="00AD151D" w:rsidRDefault="00AE7D50" w:rsidP="004D507D">
            <w:pPr>
              <w:widowControl w:val="0"/>
              <w:jc w:val="center"/>
              <w:rPr>
                <w:sz w:val="18"/>
                <w:szCs w:val="18"/>
              </w:rPr>
            </w:pPr>
            <w:r w:rsidRPr="00AD151D">
              <w:rPr>
                <w:sz w:val="18"/>
                <w:szCs w:val="18"/>
              </w:rPr>
              <w:t>$25,500</w:t>
            </w:r>
          </w:p>
        </w:tc>
        <w:tc>
          <w:tcPr>
            <w:tcW w:w="810" w:type="dxa"/>
            <w:vAlign w:val="bottom"/>
          </w:tcPr>
          <w:p w:rsidR="00AE7D50" w:rsidRPr="00AD151D" w:rsidRDefault="00AE7D50" w:rsidP="004D507D">
            <w:pPr>
              <w:widowControl w:val="0"/>
              <w:jc w:val="center"/>
              <w:rPr>
                <w:sz w:val="18"/>
                <w:szCs w:val="18"/>
              </w:rPr>
            </w:pPr>
            <w:r w:rsidRPr="00AD151D">
              <w:rPr>
                <w:sz w:val="18"/>
                <w:szCs w:val="18"/>
              </w:rPr>
              <w:t>$7,000</w:t>
            </w:r>
          </w:p>
        </w:tc>
        <w:tc>
          <w:tcPr>
            <w:tcW w:w="810" w:type="dxa"/>
            <w:vAlign w:val="bottom"/>
          </w:tcPr>
          <w:p w:rsidR="00AE7D50" w:rsidRPr="00586B1F" w:rsidRDefault="00AE7D50" w:rsidP="004D507D">
            <w:pPr>
              <w:widowControl w:val="0"/>
              <w:jc w:val="center"/>
              <w:rPr>
                <w:b/>
                <w:sz w:val="18"/>
                <w:szCs w:val="18"/>
              </w:rPr>
            </w:pPr>
            <w:r w:rsidRPr="00586B1F">
              <w:rPr>
                <w:b/>
                <w:sz w:val="18"/>
                <w:szCs w:val="18"/>
              </w:rPr>
              <w:t>$82,500</w:t>
            </w:r>
          </w:p>
        </w:tc>
      </w:tr>
      <w:tr w:rsidR="004D507D" w:rsidRPr="00AD151D" w:rsidTr="00E34EEA">
        <w:trPr>
          <w:trHeight w:val="407"/>
        </w:trPr>
        <w:tc>
          <w:tcPr>
            <w:tcW w:w="1138" w:type="dxa"/>
            <w:vAlign w:val="bottom"/>
          </w:tcPr>
          <w:p w:rsidR="00AE7D50" w:rsidRPr="004D507D" w:rsidRDefault="00AE7D50" w:rsidP="004D507D">
            <w:pPr>
              <w:widowControl w:val="0"/>
              <w:jc w:val="center"/>
              <w:rPr>
                <w:b/>
                <w:bCs/>
                <w:sz w:val="18"/>
                <w:szCs w:val="18"/>
              </w:rPr>
            </w:pPr>
            <w:r w:rsidRPr="004D507D">
              <w:rPr>
                <w:b/>
                <w:bCs/>
                <w:sz w:val="18"/>
                <w:szCs w:val="18"/>
              </w:rPr>
              <w:t>Enforcement Cases</w:t>
            </w:r>
          </w:p>
        </w:tc>
        <w:tc>
          <w:tcPr>
            <w:tcW w:w="990" w:type="dxa"/>
            <w:vAlign w:val="bottom"/>
          </w:tcPr>
          <w:p w:rsidR="00AE7D50" w:rsidRPr="004D507D" w:rsidRDefault="00AE7D50" w:rsidP="004D507D">
            <w:pPr>
              <w:widowControl w:val="0"/>
              <w:jc w:val="center"/>
              <w:rPr>
                <w:sz w:val="18"/>
                <w:szCs w:val="18"/>
              </w:rPr>
            </w:pPr>
            <w:r w:rsidRPr="004D507D">
              <w:rPr>
                <w:sz w:val="18"/>
                <w:szCs w:val="18"/>
              </w:rPr>
              <w:t>0</w:t>
            </w:r>
          </w:p>
        </w:tc>
        <w:tc>
          <w:tcPr>
            <w:tcW w:w="1080" w:type="dxa"/>
            <w:vAlign w:val="bottom"/>
          </w:tcPr>
          <w:p w:rsidR="00AE7D50" w:rsidRPr="004D507D" w:rsidRDefault="00AE7D50" w:rsidP="004D507D">
            <w:pPr>
              <w:widowControl w:val="0"/>
              <w:jc w:val="center"/>
              <w:rPr>
                <w:sz w:val="18"/>
                <w:szCs w:val="18"/>
              </w:rPr>
            </w:pPr>
            <w:r w:rsidRPr="004D507D">
              <w:rPr>
                <w:sz w:val="18"/>
                <w:szCs w:val="18"/>
              </w:rPr>
              <w:t>1</w:t>
            </w:r>
          </w:p>
        </w:tc>
        <w:tc>
          <w:tcPr>
            <w:tcW w:w="1620" w:type="dxa"/>
            <w:vAlign w:val="bottom"/>
          </w:tcPr>
          <w:p w:rsidR="00AE7D50" w:rsidRPr="004D507D" w:rsidRDefault="00AE7D50" w:rsidP="004D507D">
            <w:pPr>
              <w:widowControl w:val="0"/>
              <w:jc w:val="center"/>
              <w:rPr>
                <w:sz w:val="18"/>
                <w:szCs w:val="18"/>
              </w:rPr>
            </w:pPr>
            <w:r w:rsidRPr="004D507D">
              <w:rPr>
                <w:sz w:val="18"/>
                <w:szCs w:val="18"/>
              </w:rPr>
              <w:t>1</w:t>
            </w:r>
          </w:p>
        </w:tc>
        <w:tc>
          <w:tcPr>
            <w:tcW w:w="990" w:type="dxa"/>
            <w:vAlign w:val="bottom"/>
          </w:tcPr>
          <w:p w:rsidR="00AE7D50" w:rsidRPr="004D507D" w:rsidRDefault="00AE7D50" w:rsidP="004D507D">
            <w:pPr>
              <w:widowControl w:val="0"/>
              <w:jc w:val="center"/>
              <w:rPr>
                <w:sz w:val="18"/>
                <w:szCs w:val="18"/>
              </w:rPr>
            </w:pPr>
            <w:r w:rsidRPr="004D507D">
              <w:rPr>
                <w:sz w:val="18"/>
                <w:szCs w:val="18"/>
              </w:rPr>
              <w:t>1</w:t>
            </w:r>
          </w:p>
        </w:tc>
        <w:tc>
          <w:tcPr>
            <w:tcW w:w="1170" w:type="dxa"/>
            <w:vAlign w:val="bottom"/>
          </w:tcPr>
          <w:p w:rsidR="00AE7D50" w:rsidRPr="004D507D" w:rsidRDefault="00AE7D50" w:rsidP="004D507D">
            <w:pPr>
              <w:widowControl w:val="0"/>
              <w:jc w:val="center"/>
              <w:rPr>
                <w:sz w:val="18"/>
                <w:szCs w:val="18"/>
              </w:rPr>
            </w:pPr>
            <w:r w:rsidRPr="004D507D">
              <w:rPr>
                <w:sz w:val="18"/>
                <w:szCs w:val="18"/>
              </w:rPr>
              <w:t>0</w:t>
            </w:r>
          </w:p>
        </w:tc>
        <w:tc>
          <w:tcPr>
            <w:tcW w:w="810" w:type="dxa"/>
            <w:vAlign w:val="bottom"/>
          </w:tcPr>
          <w:p w:rsidR="00AE7D50" w:rsidRPr="004D507D" w:rsidRDefault="00AE7D50" w:rsidP="004D507D">
            <w:pPr>
              <w:widowControl w:val="0"/>
              <w:jc w:val="center"/>
              <w:rPr>
                <w:sz w:val="18"/>
                <w:szCs w:val="18"/>
              </w:rPr>
            </w:pPr>
          </w:p>
          <w:p w:rsidR="00AE7D50" w:rsidRPr="004D507D" w:rsidRDefault="00AE7D50" w:rsidP="004D507D">
            <w:pPr>
              <w:widowControl w:val="0"/>
              <w:jc w:val="center"/>
              <w:rPr>
                <w:sz w:val="18"/>
                <w:szCs w:val="18"/>
              </w:rPr>
            </w:pPr>
            <w:r w:rsidRPr="004D507D">
              <w:rPr>
                <w:sz w:val="18"/>
                <w:szCs w:val="18"/>
              </w:rPr>
              <w:t>1</w:t>
            </w:r>
          </w:p>
        </w:tc>
        <w:tc>
          <w:tcPr>
            <w:tcW w:w="810" w:type="dxa"/>
            <w:vAlign w:val="bottom"/>
          </w:tcPr>
          <w:p w:rsidR="00AE7D50" w:rsidRPr="00AD151D" w:rsidRDefault="00AE7D50" w:rsidP="004D507D">
            <w:pPr>
              <w:widowControl w:val="0"/>
              <w:jc w:val="center"/>
              <w:rPr>
                <w:sz w:val="18"/>
                <w:szCs w:val="18"/>
              </w:rPr>
            </w:pPr>
            <w:r w:rsidRPr="004D507D">
              <w:rPr>
                <w:sz w:val="18"/>
                <w:szCs w:val="18"/>
              </w:rPr>
              <w:t>3</w:t>
            </w:r>
          </w:p>
        </w:tc>
      </w:tr>
      <w:tr w:rsidR="004D507D" w:rsidRPr="00AD151D" w:rsidTr="00E34EEA">
        <w:trPr>
          <w:trHeight w:val="815"/>
        </w:trPr>
        <w:tc>
          <w:tcPr>
            <w:tcW w:w="1138" w:type="dxa"/>
            <w:vAlign w:val="bottom"/>
          </w:tcPr>
          <w:p w:rsidR="00AE7D50" w:rsidRPr="00AD151D" w:rsidRDefault="00AE7D50" w:rsidP="004D507D">
            <w:pPr>
              <w:widowControl w:val="0"/>
              <w:jc w:val="center"/>
              <w:rPr>
                <w:b/>
                <w:bCs/>
                <w:sz w:val="18"/>
                <w:szCs w:val="18"/>
              </w:rPr>
            </w:pPr>
            <w:r w:rsidRPr="00AD151D">
              <w:rPr>
                <w:b/>
                <w:bCs/>
                <w:sz w:val="18"/>
                <w:szCs w:val="18"/>
              </w:rPr>
              <w:t>Penalties paid in enforcement cases</w:t>
            </w:r>
          </w:p>
        </w:tc>
        <w:tc>
          <w:tcPr>
            <w:tcW w:w="990" w:type="dxa"/>
            <w:vAlign w:val="bottom"/>
          </w:tcPr>
          <w:p w:rsidR="00AE7D50" w:rsidRPr="00AD151D" w:rsidRDefault="00AE7D50" w:rsidP="004D507D">
            <w:pPr>
              <w:widowControl w:val="0"/>
              <w:jc w:val="center"/>
              <w:rPr>
                <w:sz w:val="18"/>
                <w:szCs w:val="18"/>
              </w:rPr>
            </w:pPr>
            <w:r w:rsidRPr="00AD151D">
              <w:rPr>
                <w:sz w:val="18"/>
                <w:szCs w:val="18"/>
              </w:rPr>
              <w:t>0</w:t>
            </w:r>
          </w:p>
        </w:tc>
        <w:tc>
          <w:tcPr>
            <w:tcW w:w="1080" w:type="dxa"/>
            <w:vAlign w:val="bottom"/>
          </w:tcPr>
          <w:p w:rsidR="00AE7D50" w:rsidRPr="00AD151D" w:rsidRDefault="00AE7D50" w:rsidP="004D507D">
            <w:pPr>
              <w:widowControl w:val="0"/>
              <w:jc w:val="center"/>
              <w:rPr>
                <w:sz w:val="18"/>
                <w:szCs w:val="18"/>
              </w:rPr>
            </w:pPr>
            <w:r w:rsidRPr="00AD151D">
              <w:rPr>
                <w:sz w:val="18"/>
                <w:szCs w:val="18"/>
              </w:rPr>
              <w:t>$107,500</w:t>
            </w:r>
          </w:p>
        </w:tc>
        <w:tc>
          <w:tcPr>
            <w:tcW w:w="1620" w:type="dxa"/>
            <w:vAlign w:val="bottom"/>
          </w:tcPr>
          <w:p w:rsidR="00AE7D50" w:rsidRPr="00AD151D" w:rsidRDefault="00AE7D50" w:rsidP="004D507D">
            <w:pPr>
              <w:widowControl w:val="0"/>
              <w:jc w:val="center"/>
              <w:rPr>
                <w:sz w:val="18"/>
                <w:szCs w:val="18"/>
              </w:rPr>
            </w:pPr>
            <w:r w:rsidRPr="00AD151D">
              <w:rPr>
                <w:sz w:val="18"/>
                <w:szCs w:val="18"/>
              </w:rPr>
              <w:t>$225,000</w:t>
            </w:r>
          </w:p>
        </w:tc>
        <w:tc>
          <w:tcPr>
            <w:tcW w:w="990" w:type="dxa"/>
            <w:vAlign w:val="bottom"/>
          </w:tcPr>
          <w:p w:rsidR="00AE7D50" w:rsidRPr="00AD151D" w:rsidRDefault="00AE7D50" w:rsidP="004D507D">
            <w:pPr>
              <w:widowControl w:val="0"/>
              <w:jc w:val="center"/>
              <w:rPr>
                <w:sz w:val="18"/>
                <w:szCs w:val="18"/>
              </w:rPr>
            </w:pPr>
            <w:r w:rsidRPr="00AD151D">
              <w:rPr>
                <w:sz w:val="18"/>
                <w:szCs w:val="18"/>
              </w:rPr>
              <w:t>$300,000</w:t>
            </w:r>
          </w:p>
        </w:tc>
        <w:tc>
          <w:tcPr>
            <w:tcW w:w="1170" w:type="dxa"/>
            <w:vAlign w:val="bottom"/>
          </w:tcPr>
          <w:p w:rsidR="00AE7D50" w:rsidRPr="00AD151D" w:rsidRDefault="00AE7D50" w:rsidP="004D507D">
            <w:pPr>
              <w:widowControl w:val="0"/>
              <w:jc w:val="center"/>
              <w:rPr>
                <w:sz w:val="18"/>
                <w:szCs w:val="18"/>
              </w:rPr>
            </w:pPr>
            <w:r w:rsidRPr="00AD151D">
              <w:rPr>
                <w:sz w:val="18"/>
                <w:szCs w:val="18"/>
              </w:rPr>
              <w:t>0</w:t>
            </w:r>
          </w:p>
        </w:tc>
        <w:tc>
          <w:tcPr>
            <w:tcW w:w="810" w:type="dxa"/>
            <w:vAlign w:val="bottom"/>
          </w:tcPr>
          <w:p w:rsidR="00AE7D50" w:rsidRPr="00AD151D" w:rsidRDefault="00AE7D50" w:rsidP="004D507D">
            <w:pPr>
              <w:widowControl w:val="0"/>
              <w:jc w:val="center"/>
              <w:rPr>
                <w:sz w:val="18"/>
                <w:szCs w:val="18"/>
              </w:rPr>
            </w:pPr>
          </w:p>
          <w:p w:rsidR="00AE7D50" w:rsidRPr="00AD151D" w:rsidRDefault="00415330" w:rsidP="004D507D">
            <w:pPr>
              <w:widowControl w:val="0"/>
              <w:jc w:val="center"/>
              <w:rPr>
                <w:sz w:val="18"/>
                <w:szCs w:val="18"/>
              </w:rPr>
            </w:pPr>
            <w:r>
              <w:rPr>
                <w:sz w:val="18"/>
                <w:szCs w:val="18"/>
              </w:rPr>
              <w:t>$215,000</w:t>
            </w:r>
          </w:p>
        </w:tc>
        <w:tc>
          <w:tcPr>
            <w:tcW w:w="810" w:type="dxa"/>
            <w:vAlign w:val="bottom"/>
          </w:tcPr>
          <w:p w:rsidR="00AE7D50" w:rsidRPr="00586B1F" w:rsidRDefault="00AE7D50" w:rsidP="004D507D">
            <w:pPr>
              <w:widowControl w:val="0"/>
              <w:jc w:val="center"/>
              <w:rPr>
                <w:b/>
                <w:sz w:val="18"/>
                <w:szCs w:val="18"/>
              </w:rPr>
            </w:pPr>
            <w:r w:rsidRPr="00586B1F">
              <w:rPr>
                <w:b/>
                <w:sz w:val="18"/>
                <w:szCs w:val="18"/>
              </w:rPr>
              <w:t>$</w:t>
            </w:r>
            <w:r w:rsidR="00415330" w:rsidRPr="00586B1F">
              <w:rPr>
                <w:b/>
                <w:sz w:val="18"/>
                <w:szCs w:val="18"/>
              </w:rPr>
              <w:t>847,500</w:t>
            </w:r>
          </w:p>
        </w:tc>
      </w:tr>
    </w:tbl>
    <w:p w:rsidR="00AE7D50" w:rsidRPr="00AD151D" w:rsidRDefault="00AE7D50" w:rsidP="004D507D">
      <w:pPr>
        <w:widowControl w:val="0"/>
        <w:spacing w:before="120"/>
        <w:jc w:val="both"/>
        <w:rPr>
          <w:sz w:val="20"/>
          <w:szCs w:val="20"/>
        </w:rPr>
      </w:pPr>
      <w:r w:rsidRPr="00AD151D">
        <w:rPr>
          <w:sz w:val="20"/>
          <w:szCs w:val="20"/>
        </w:rPr>
        <w:t>Source – CPUC enforcement records</w:t>
      </w:r>
    </w:p>
    <w:p w:rsidR="00AE7D50" w:rsidRPr="00AD151D" w:rsidRDefault="00AE7D50">
      <w:pPr>
        <w:spacing w:before="120"/>
        <w:ind w:firstLine="720"/>
      </w:pPr>
      <w:r w:rsidRPr="00AD151D">
        <w:lastRenderedPageBreak/>
        <w:t>In 2011 there was a large improvement in the quality of the RA filings, and a decrease in the amount of recurrent minor errors in the filings.  The small errors continued to be related to the outage counting protocol or mismatched supply plans.  There is also the continued need to monitor administrative issues such as filing dates and filing procedures.</w:t>
      </w:r>
    </w:p>
    <w:p w:rsidR="00AE7D50" w:rsidRPr="00AD151D" w:rsidRDefault="00AE7D50">
      <w:pPr>
        <w:pStyle w:val="Heading1"/>
        <w:numPr>
          <w:ilvl w:val="0"/>
          <w:numId w:val="18"/>
        </w:numPr>
        <w:spacing w:before="120" w:after="120"/>
      </w:pPr>
      <w:bookmarkStart w:id="134" w:name="_Toc223253263"/>
      <w:bookmarkStart w:id="135" w:name="_Toc223315675"/>
      <w:bookmarkStart w:id="136" w:name="_Toc224022449"/>
      <w:bookmarkStart w:id="137" w:name="_Toc347827066"/>
      <w:r w:rsidRPr="00AD151D">
        <w:t>Generator Performance and Availability</w:t>
      </w:r>
      <w:bookmarkEnd w:id="137"/>
    </w:p>
    <w:p w:rsidR="00AE7D50" w:rsidRPr="00AD151D" w:rsidRDefault="00ED67AB">
      <w:pPr>
        <w:spacing w:before="120"/>
        <w:ind w:firstLine="432"/>
      </w:pPr>
      <w:r>
        <w:t xml:space="preserve">To facilitate and ensure that generators perform in accordance with their RA capacity contracts, and are available as per agreement.  To this end, </w:t>
      </w:r>
      <w:r w:rsidR="00AE7D50" w:rsidRPr="00AD151D">
        <w:t xml:space="preserve">CAISO </w:t>
      </w:r>
      <w:r>
        <w:t xml:space="preserve">developed and </w:t>
      </w:r>
      <w:r w:rsidR="00AE7D50" w:rsidRPr="00AD151D">
        <w:t>implement</w:t>
      </w:r>
      <w:r>
        <w:t>ed</w:t>
      </w:r>
      <w:r w:rsidR="00AE7D50" w:rsidRPr="00AD151D">
        <w:t xml:space="preserve"> Standard Capacity Product (SCP) </w:t>
      </w:r>
      <w:r>
        <w:t>provisions, monitor and penalize generator’s Scheduling Coordinators (SCs) with</w:t>
      </w:r>
      <w:r w:rsidR="001A2D84">
        <w:t xml:space="preserve"> </w:t>
      </w:r>
      <w:r w:rsidR="00AE7D50" w:rsidRPr="00AD151D">
        <w:t>performance and availability penalties</w:t>
      </w:r>
      <w:r w:rsidR="001A2D84">
        <w:t>,</w:t>
      </w:r>
      <w:r w:rsidR="00AE7D50" w:rsidRPr="00AD151D">
        <w:t xml:space="preserve"> on January 1, 2010.  SCP penalties </w:t>
      </w:r>
      <w:r w:rsidR="001A2D84">
        <w:t xml:space="preserve">could </w:t>
      </w:r>
      <w:r w:rsidR="00AE7D50" w:rsidRPr="00AD151D">
        <w:t xml:space="preserve">apply </w:t>
      </w:r>
      <w:r w:rsidR="001A2D84">
        <w:t xml:space="preserve">to </w:t>
      </w:r>
      <w:r w:rsidR="00AE7D50" w:rsidRPr="00AD151D">
        <w:t>both generation confirmed as RA resources for the month and located inside CAISO and resources confirmed as RA for the month and located external to CAISO.  SCP reporting information is posted to the CAISO website.</w:t>
      </w:r>
      <w:r w:rsidR="00AE7D50" w:rsidRPr="00AD151D">
        <w:rPr>
          <w:rStyle w:val="FootnoteReference"/>
        </w:rPr>
        <w:footnoteReference w:id="36"/>
      </w:r>
    </w:p>
    <w:p w:rsidR="00AE7D50" w:rsidRPr="00AD151D" w:rsidRDefault="001A2D84">
      <w:pPr>
        <w:spacing w:before="120"/>
        <w:ind w:firstLine="432"/>
      </w:pPr>
      <w:r>
        <w:t>To b</w:t>
      </w:r>
      <w:r w:rsidR="002C2708">
        <w:t>etter understand and bench mark</w:t>
      </w:r>
      <w:r w:rsidR="00AE7D50" w:rsidRPr="00AD151D">
        <w:t xml:space="preserve"> power plant </w:t>
      </w:r>
      <w:r>
        <w:t xml:space="preserve">performance, availability and </w:t>
      </w:r>
      <w:r w:rsidR="00AE7D50" w:rsidRPr="00AD151D">
        <w:t xml:space="preserve">reliability </w:t>
      </w:r>
      <w:r>
        <w:t>the</w:t>
      </w:r>
      <w:r w:rsidR="00AE7D50" w:rsidRPr="00AD151D">
        <w:t xml:space="preserve"> North American Electric Reliability Corporation (NERC) via the Generator Availability Data System (GADS) application</w:t>
      </w:r>
      <w:r>
        <w:t xml:space="preserve"> also tracks, records and measures generator performance data</w:t>
      </w:r>
      <w:r w:rsidR="00AE7D50" w:rsidRPr="00AD151D">
        <w:t>.  G</w:t>
      </w:r>
      <w:r w:rsidR="00467339" w:rsidRPr="00AD151D">
        <w:t xml:space="preserve">eneral Order </w:t>
      </w:r>
      <w:r w:rsidR="00AE7D50" w:rsidRPr="00AD151D">
        <w:t xml:space="preserve">167 requires large generating facilities in California to submit data to GADS, but the process is underway at NERC to create a mandatory reporting requirement for most generators. </w:t>
      </w:r>
    </w:p>
    <w:p w:rsidR="00AE7D50" w:rsidRPr="00277DC8" w:rsidRDefault="00AE7D50">
      <w:pPr>
        <w:pStyle w:val="Heading2"/>
        <w:numPr>
          <w:ilvl w:val="1"/>
          <w:numId w:val="18"/>
        </w:numPr>
        <w:spacing w:before="120"/>
        <w:rPr>
          <w:i w:val="0"/>
        </w:rPr>
      </w:pPr>
      <w:bookmarkStart w:id="138" w:name="_Ref287348386"/>
      <w:bookmarkStart w:id="139" w:name="_Toc347827067"/>
      <w:r w:rsidRPr="00277DC8">
        <w:rPr>
          <w:i w:val="0"/>
        </w:rPr>
        <w:t>Performance and Availability for RA Resources in CAISO</w:t>
      </w:r>
      <w:bookmarkEnd w:id="139"/>
    </w:p>
    <w:p w:rsidR="00C7610B" w:rsidRDefault="003D16C2" w:rsidP="003D16C2">
      <w:pPr>
        <w:spacing w:before="120"/>
        <w:ind w:firstLine="576"/>
      </w:pPr>
      <w:r w:rsidRPr="00AD151D">
        <w:t xml:space="preserve">On January 1, 2011 the </w:t>
      </w:r>
      <w:r w:rsidR="00ED67AB">
        <w:t xml:space="preserve">CAISO implemented newly developed SCP provisions for </w:t>
      </w:r>
      <w:r w:rsidRPr="00AD151D">
        <w:t xml:space="preserve">resources whose </w:t>
      </w:r>
      <w:r w:rsidR="006C5D7A">
        <w:t>QC</w:t>
      </w:r>
      <w:r w:rsidRPr="00AD151D">
        <w:t xml:space="preserve"> is based on historical values.</w:t>
      </w:r>
      <w:r w:rsidR="006802FD">
        <w:t xml:space="preserve"> </w:t>
      </w:r>
      <w:r w:rsidRPr="00AD151D">
        <w:t xml:space="preserve"> Demand Response resources currently</w:t>
      </w:r>
      <w:r w:rsidR="00C7610B">
        <w:t xml:space="preserve"> remain</w:t>
      </w:r>
      <w:r w:rsidRPr="00AD151D">
        <w:t xml:space="preserve"> exempt. </w:t>
      </w:r>
      <w:r w:rsidR="006802FD">
        <w:t xml:space="preserve"> </w:t>
      </w:r>
      <w:r w:rsidR="00C7610B">
        <w:t>In 2011</w:t>
      </w:r>
      <w:r w:rsidRPr="00AD151D">
        <w:t xml:space="preserve"> the SCP program</w:t>
      </w:r>
      <w:r w:rsidR="00C7610B">
        <w:t xml:space="preserve"> established</w:t>
      </w:r>
      <w:r w:rsidRPr="00AD151D">
        <w:t xml:space="preserve"> an availability standard for each month.  </w:t>
      </w:r>
    </w:p>
    <w:p w:rsidR="003D16C2" w:rsidRPr="00AD151D" w:rsidRDefault="003D16C2" w:rsidP="003D16C2">
      <w:pPr>
        <w:spacing w:before="120"/>
        <w:ind w:firstLine="576"/>
      </w:pPr>
      <w:r w:rsidRPr="00AD151D">
        <w:t xml:space="preserve">The CAISO performed a monthly review of all RA resources subject to SCP to determine </w:t>
      </w:r>
      <w:r w:rsidR="00C7610B">
        <w:t xml:space="preserve">whether </w:t>
      </w:r>
      <w:r w:rsidRPr="00AD151D">
        <w:t>the resource</w:t>
      </w:r>
      <w:r w:rsidR="00C7610B">
        <w:t>’s</w:t>
      </w:r>
      <w:r w:rsidRPr="00AD151D">
        <w:t xml:space="preserve"> monthly availability met the monthly availability standard.  When </w:t>
      </w:r>
      <w:r w:rsidR="00C7610B">
        <w:t xml:space="preserve">an </w:t>
      </w:r>
      <w:r w:rsidRPr="00AD151D">
        <w:t>RA resource</w:t>
      </w:r>
      <w:r w:rsidR="00C7610B">
        <w:t>’s</w:t>
      </w:r>
      <w:r w:rsidRPr="00AD151D">
        <w:t xml:space="preserve"> availability is greater than 2.5 % of the monthly availability standard, the resource </w:t>
      </w:r>
      <w:r w:rsidR="00C7610B">
        <w:t xml:space="preserve">becomes </w:t>
      </w:r>
      <w:r w:rsidRPr="00AD151D">
        <w:t xml:space="preserve">eligible </w:t>
      </w:r>
      <w:r w:rsidR="00C7610B">
        <w:t>for</w:t>
      </w:r>
      <w:r w:rsidRPr="00AD151D">
        <w:t xml:space="preserve"> an availability incentive payment.  When </w:t>
      </w:r>
      <w:r w:rsidR="00C7610B">
        <w:t xml:space="preserve">an </w:t>
      </w:r>
      <w:r w:rsidRPr="00AD151D">
        <w:t>RA resource</w:t>
      </w:r>
      <w:r w:rsidR="00C7610B">
        <w:t>’s</w:t>
      </w:r>
      <w:r w:rsidRPr="00AD151D">
        <w:t xml:space="preserve"> availability </w:t>
      </w:r>
      <w:r w:rsidR="00C7610B">
        <w:t>falls</w:t>
      </w:r>
      <w:r w:rsidRPr="00AD151D">
        <w:t xml:space="preserve"> 2.5 % below the monthly availability standard, the resource </w:t>
      </w:r>
      <w:r w:rsidR="00C7610B">
        <w:t>becomes</w:t>
      </w:r>
      <w:r w:rsidRPr="00AD151D">
        <w:t xml:space="preserve"> subject to a non-availability charge.</w:t>
      </w:r>
      <w:r w:rsidR="007C7820" w:rsidRPr="00AD151D">
        <w:rPr>
          <w:rStyle w:val="FootnoteReference"/>
        </w:rPr>
        <w:t xml:space="preserve"> </w:t>
      </w:r>
      <w:r w:rsidR="007C7820" w:rsidRPr="00AD151D">
        <w:rPr>
          <w:rStyle w:val="FootnoteReference"/>
        </w:rPr>
        <w:footnoteReference w:id="37"/>
      </w:r>
      <w:r w:rsidRPr="00AD151D">
        <w:t xml:space="preserve">  </w:t>
      </w:r>
      <w:r w:rsidR="00C7610B">
        <w:t>To maintain a revenue neutral program the p</w:t>
      </w:r>
      <w:r w:rsidRPr="00AD151D">
        <w:t>erformance payments for a particular month are drawn from the pool of performance penalties paid for that month.</w:t>
      </w:r>
    </w:p>
    <w:p w:rsidR="003D16C2" w:rsidRPr="00AD151D" w:rsidRDefault="00C7610B" w:rsidP="003D16C2">
      <w:pPr>
        <w:spacing w:before="120"/>
        <w:ind w:firstLine="576"/>
      </w:pPr>
      <w:r>
        <w:t>The CAISO calculates t</w:t>
      </w:r>
      <w:r w:rsidR="003D16C2" w:rsidRPr="00AD151D">
        <w:t xml:space="preserve">he monthly availability standard using the historical forced outages of RA resources over the range </w:t>
      </w:r>
      <w:r>
        <w:t xml:space="preserve">of </w:t>
      </w:r>
      <w:r w:rsidR="003D16C2" w:rsidRPr="00AD151D">
        <w:t xml:space="preserve">availability assessment hours for each month of the year for the past three years.  </w:t>
      </w:r>
    </w:p>
    <w:p w:rsidR="003D16C2" w:rsidRPr="00AD151D" w:rsidRDefault="00C7610B" w:rsidP="003D16C2">
      <w:pPr>
        <w:spacing w:before="120"/>
        <w:ind w:firstLine="576"/>
      </w:pPr>
      <w:r>
        <w:t xml:space="preserve">The CAISO calculates individual resource </w:t>
      </w:r>
      <w:r w:rsidR="003D16C2" w:rsidRPr="00AD151D">
        <w:t xml:space="preserve">availability by taking the total RA capacity available reported in SLIC divided by all the availability assessment hours in the </w:t>
      </w:r>
      <w:r w:rsidR="003D16C2" w:rsidRPr="00AD151D">
        <w:lastRenderedPageBreak/>
        <w:t xml:space="preserve">month.  A resource is considered 100% available if the resource has no forced outages or temperature related ambient de-rates that impact the RA capacity during the availability assessment hours. </w:t>
      </w:r>
    </w:p>
    <w:p w:rsidR="003D16C2" w:rsidRPr="00AD151D" w:rsidRDefault="003D16C2" w:rsidP="003D16C2">
      <w:pPr>
        <w:spacing w:before="120"/>
        <w:ind w:firstLine="576"/>
      </w:pPr>
      <w:r w:rsidRPr="00AD151D">
        <w:t>In contrast</w:t>
      </w:r>
      <w:r w:rsidR="006802FD">
        <w:t xml:space="preserve"> non-resource specific </w:t>
      </w:r>
      <w:r w:rsidRPr="00AD151D">
        <w:t xml:space="preserve">System resource availability (intertie availability) is not based on outages in SLIC.  The availability of a NRS System Resource will be measured by its hourly offers </w:t>
      </w:r>
      <w:r w:rsidR="002A3FD6">
        <w:t>(e.g.</w:t>
      </w:r>
      <w:r w:rsidRPr="00AD151D">
        <w:t xml:space="preserve"> Economic Bids or Self-Schedules</w:t>
      </w:r>
      <w:r w:rsidR="002A3FD6">
        <w:t>)</w:t>
      </w:r>
      <w:r w:rsidRPr="00AD151D">
        <w:t xml:space="preserve"> to provide energy, per Tariff Section 40.9.7.2 Availability Calculation for Non-Resource-Specific System Resources Providing Resource Adequacy Capacity.  </w:t>
      </w:r>
    </w:p>
    <w:p w:rsidR="00AE7D50" w:rsidRPr="00AD151D" w:rsidRDefault="009C3C19" w:rsidP="003D16C2">
      <w:pPr>
        <w:spacing w:before="120"/>
        <w:ind w:firstLine="576"/>
      </w:pPr>
      <w:r>
        <w:fldChar w:fldCharType="begin"/>
      </w:r>
      <w:r>
        <w:instrText xml:space="preserve"> REF _Ref287344325 \h </w:instrText>
      </w:r>
      <w:r>
        <w:fldChar w:fldCharType="separate"/>
      </w:r>
      <w:r w:rsidR="00B3535E" w:rsidRPr="00AD151D">
        <w:t xml:space="preserve">Table </w:t>
      </w:r>
      <w:r w:rsidR="00B3535E">
        <w:rPr>
          <w:noProof/>
        </w:rPr>
        <w:t>17</w:t>
      </w:r>
      <w:r>
        <w:fldChar w:fldCharType="end"/>
      </w:r>
      <w:r>
        <w:t xml:space="preserve"> </w:t>
      </w:r>
      <w:r w:rsidR="003D16C2" w:rsidRPr="00AD151D">
        <w:t>provides SCP data</w:t>
      </w:r>
      <w:r w:rsidR="007C7820" w:rsidRPr="00AD151D">
        <w:rPr>
          <w:rStyle w:val="FootnoteReference"/>
        </w:rPr>
        <w:footnoteReference w:id="38"/>
      </w:r>
      <w:r w:rsidR="003D16C2" w:rsidRPr="00AD151D">
        <w:t xml:space="preserve"> for January to December 201</w:t>
      </w:r>
      <w:r>
        <w:t>1</w:t>
      </w:r>
      <w:r w:rsidR="003D16C2" w:rsidRPr="00AD151D">
        <w:t>.</w:t>
      </w:r>
      <w:r w:rsidR="002A3FD6">
        <w:t xml:space="preserve"> </w:t>
      </w:r>
      <w:r w:rsidR="002A3FD6" w:rsidRPr="00AD151D">
        <w:t>This chart shows that in 2011 on average 21,355 MW</w:t>
      </w:r>
      <w:r w:rsidR="002A3FD6" w:rsidRPr="00AD151D">
        <w:rPr>
          <w:rStyle w:val="FootnoteReference"/>
        </w:rPr>
        <w:footnoteReference w:id="39"/>
      </w:r>
      <w:r w:rsidR="002A3FD6" w:rsidRPr="00AD151D">
        <w:t xml:space="preserve"> of RA capacity from generators and 590 MW</w:t>
      </w:r>
      <w:r w:rsidR="002A3FD6" w:rsidRPr="00AD151D">
        <w:rPr>
          <w:rStyle w:val="FootnoteReference"/>
        </w:rPr>
        <w:footnoteReference w:id="40"/>
      </w:r>
      <w:r w:rsidR="002A3FD6" w:rsidRPr="00AD151D">
        <w:t xml:space="preserve"> of RA capacity from interties were subject to SCP rules.  The monthly availability standard ranged from just under 98 percent to just under 96 percent during 2011; actual availability of generators averaged at 98 percent, which exceeded the availability standards in several months, while intertie resources had an average availability of 92 percent, dipping as low as 78% in April and July. </w:t>
      </w:r>
      <w:r w:rsidR="003D16C2" w:rsidRPr="00AD151D">
        <w:t xml:space="preserve"> The monthly availability standards are listed in the top row followed by the non-availability charges and availability incentive payments.  Additionally, this chart shows the available capacity subject to SCP and the average actual availability. </w:t>
      </w:r>
      <w:r w:rsidR="00180C07">
        <w:t xml:space="preserve"> </w:t>
      </w:r>
      <w:r w:rsidR="003D16C2" w:rsidRPr="00AD151D">
        <w:t xml:space="preserve">All the values are calculated for both generators and interties.  </w:t>
      </w:r>
      <w:r w:rsidR="00AE7D50" w:rsidRPr="00AD151D">
        <w:t xml:space="preserve">  </w:t>
      </w:r>
    </w:p>
    <w:p w:rsidR="00AE7D50" w:rsidRPr="00AD151D" w:rsidRDefault="00AE7D50" w:rsidP="007C7820">
      <w:pPr>
        <w:pStyle w:val="Caption"/>
        <w:keepNext/>
        <w:keepLines/>
        <w:spacing w:before="120"/>
        <w:rPr>
          <w:sz w:val="24"/>
          <w:szCs w:val="24"/>
        </w:rPr>
      </w:pPr>
      <w:bookmarkStart w:id="140" w:name="_Ref287344325"/>
      <w:bookmarkStart w:id="141" w:name="_Toc287352851"/>
      <w:bookmarkStart w:id="142" w:name="_Toc347827087"/>
      <w:r w:rsidRPr="00AD151D">
        <w:rPr>
          <w:sz w:val="24"/>
          <w:szCs w:val="24"/>
        </w:rPr>
        <w:t xml:space="preserve">Table </w:t>
      </w:r>
      <w:r w:rsidRPr="00AD151D">
        <w:rPr>
          <w:sz w:val="24"/>
          <w:szCs w:val="24"/>
        </w:rPr>
        <w:fldChar w:fldCharType="begin"/>
      </w:r>
      <w:r w:rsidRPr="00AD151D">
        <w:rPr>
          <w:sz w:val="24"/>
          <w:szCs w:val="24"/>
        </w:rPr>
        <w:instrText xml:space="preserve"> SEQ Table \* ARABIC </w:instrText>
      </w:r>
      <w:r w:rsidRPr="00AD151D">
        <w:rPr>
          <w:sz w:val="24"/>
          <w:szCs w:val="24"/>
        </w:rPr>
        <w:fldChar w:fldCharType="separate"/>
      </w:r>
      <w:r w:rsidR="00B3535E">
        <w:rPr>
          <w:noProof/>
          <w:sz w:val="24"/>
          <w:szCs w:val="24"/>
        </w:rPr>
        <w:t>17</w:t>
      </w:r>
      <w:r w:rsidRPr="00AD151D">
        <w:rPr>
          <w:sz w:val="24"/>
          <w:szCs w:val="24"/>
        </w:rPr>
        <w:fldChar w:fldCharType="end"/>
      </w:r>
      <w:bookmarkEnd w:id="140"/>
      <w:r w:rsidRPr="00AD151D">
        <w:rPr>
          <w:sz w:val="24"/>
          <w:szCs w:val="24"/>
        </w:rPr>
        <w:t xml:space="preserve"> </w:t>
      </w:r>
      <w:r w:rsidR="008F038D">
        <w:rPr>
          <w:sz w:val="24"/>
          <w:szCs w:val="24"/>
        </w:rPr>
        <w:t xml:space="preserve">2011 </w:t>
      </w:r>
      <w:r w:rsidRPr="00AD151D">
        <w:rPr>
          <w:sz w:val="24"/>
          <w:szCs w:val="24"/>
        </w:rPr>
        <w:t>SCP charges</w:t>
      </w:r>
      <w:bookmarkEnd w:id="141"/>
      <w:r w:rsidR="003A2EEB">
        <w:rPr>
          <w:sz w:val="24"/>
          <w:szCs w:val="24"/>
        </w:rPr>
        <w:t xml:space="preserve"> ($)</w:t>
      </w:r>
      <w:bookmarkEnd w:id="142"/>
    </w:p>
    <w:tbl>
      <w:tblPr>
        <w:tblW w:w="11130" w:type="dxa"/>
        <w:tblInd w:w="-902" w:type="dxa"/>
        <w:tblLayout w:type="fixed"/>
        <w:tblCellMar>
          <w:left w:w="58" w:type="dxa"/>
          <w:right w:w="58" w:type="dxa"/>
        </w:tblCellMar>
        <w:tblLook w:val="0000" w:firstRow="0" w:lastRow="0" w:firstColumn="0" w:lastColumn="0" w:noHBand="0" w:noVBand="0"/>
      </w:tblPr>
      <w:tblGrid>
        <w:gridCol w:w="970"/>
        <w:gridCol w:w="720"/>
        <w:gridCol w:w="720"/>
        <w:gridCol w:w="900"/>
        <w:gridCol w:w="720"/>
        <w:gridCol w:w="810"/>
        <w:gridCol w:w="810"/>
        <w:gridCol w:w="810"/>
        <w:gridCol w:w="720"/>
        <w:gridCol w:w="810"/>
        <w:gridCol w:w="810"/>
        <w:gridCol w:w="810"/>
        <w:gridCol w:w="800"/>
        <w:gridCol w:w="720"/>
      </w:tblGrid>
      <w:tr w:rsidR="00180C07" w:rsidTr="00DA6508">
        <w:trPr>
          <w:trHeight w:val="290"/>
        </w:trPr>
        <w:tc>
          <w:tcPr>
            <w:tcW w:w="970" w:type="dxa"/>
            <w:tcBorders>
              <w:top w:val="single" w:sz="6" w:space="0" w:color="auto"/>
              <w:left w:val="single" w:sz="6" w:space="0" w:color="auto"/>
              <w:bottom w:val="single" w:sz="6" w:space="0" w:color="auto"/>
              <w:right w:val="single" w:sz="6" w:space="0" w:color="auto"/>
            </w:tcBorders>
          </w:tcPr>
          <w:p w:rsidR="00180C07" w:rsidRDefault="00180C07">
            <w:pPr>
              <w:autoSpaceDE w:val="0"/>
              <w:autoSpaceDN w:val="0"/>
              <w:adjustRightInd w:val="0"/>
              <w:jc w:val="right"/>
              <w:rPr>
                <w:rFonts w:ascii="Calibri" w:hAnsi="Calibri" w:cs="Calibri"/>
                <w:b/>
                <w:bCs/>
                <w:color w:val="000000"/>
                <w:sz w:val="14"/>
                <w:szCs w:val="14"/>
              </w:rPr>
            </w:pPr>
          </w:p>
        </w:tc>
        <w:tc>
          <w:tcPr>
            <w:tcW w:w="72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b/>
                <w:bCs/>
                <w:color w:val="000000"/>
                <w:sz w:val="14"/>
                <w:szCs w:val="14"/>
              </w:rPr>
            </w:pPr>
          </w:p>
        </w:tc>
        <w:tc>
          <w:tcPr>
            <w:tcW w:w="72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Jan-11</w:t>
            </w:r>
          </w:p>
        </w:tc>
        <w:tc>
          <w:tcPr>
            <w:tcW w:w="90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Feb-11</w:t>
            </w:r>
          </w:p>
        </w:tc>
        <w:tc>
          <w:tcPr>
            <w:tcW w:w="72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Mar-11</w:t>
            </w:r>
          </w:p>
        </w:tc>
        <w:tc>
          <w:tcPr>
            <w:tcW w:w="81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Apr-11</w:t>
            </w:r>
          </w:p>
        </w:tc>
        <w:tc>
          <w:tcPr>
            <w:tcW w:w="81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May-11</w:t>
            </w:r>
          </w:p>
        </w:tc>
        <w:tc>
          <w:tcPr>
            <w:tcW w:w="81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Jun-11</w:t>
            </w:r>
          </w:p>
        </w:tc>
        <w:tc>
          <w:tcPr>
            <w:tcW w:w="72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Jul-11</w:t>
            </w:r>
          </w:p>
        </w:tc>
        <w:tc>
          <w:tcPr>
            <w:tcW w:w="81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Aug-11</w:t>
            </w:r>
          </w:p>
        </w:tc>
        <w:tc>
          <w:tcPr>
            <w:tcW w:w="81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Sep-11</w:t>
            </w:r>
          </w:p>
        </w:tc>
        <w:tc>
          <w:tcPr>
            <w:tcW w:w="81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Oct-11</w:t>
            </w:r>
          </w:p>
        </w:tc>
        <w:tc>
          <w:tcPr>
            <w:tcW w:w="80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Nov-11</w:t>
            </w:r>
          </w:p>
        </w:tc>
        <w:tc>
          <w:tcPr>
            <w:tcW w:w="72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Dec-11</w:t>
            </w:r>
          </w:p>
        </w:tc>
      </w:tr>
      <w:tr w:rsidR="00180C07" w:rsidTr="00DA6508">
        <w:trPr>
          <w:trHeight w:val="290"/>
        </w:trPr>
        <w:tc>
          <w:tcPr>
            <w:tcW w:w="970" w:type="dxa"/>
            <w:tcBorders>
              <w:top w:val="single" w:sz="6" w:space="0" w:color="auto"/>
              <w:left w:val="single" w:sz="6" w:space="0" w:color="auto"/>
              <w:bottom w:val="single" w:sz="6" w:space="0" w:color="auto"/>
              <w:right w:val="single" w:sz="6" w:space="0" w:color="auto"/>
            </w:tcBorders>
          </w:tcPr>
          <w:p w:rsidR="00180C07" w:rsidRDefault="00180C07">
            <w:pPr>
              <w:autoSpaceDE w:val="0"/>
              <w:autoSpaceDN w:val="0"/>
              <w:adjustRightInd w:val="0"/>
              <w:rPr>
                <w:rFonts w:ascii="Calibri" w:hAnsi="Calibri" w:cs="Calibri"/>
                <w:b/>
                <w:bCs/>
                <w:color w:val="000000"/>
                <w:sz w:val="14"/>
                <w:szCs w:val="14"/>
              </w:rPr>
            </w:pPr>
            <w:r>
              <w:rPr>
                <w:rFonts w:ascii="Calibri" w:hAnsi="Calibri" w:cs="Calibri"/>
                <w:b/>
                <w:bCs/>
                <w:color w:val="000000"/>
                <w:sz w:val="14"/>
                <w:szCs w:val="14"/>
              </w:rPr>
              <w:t>2011 Mthly</w:t>
            </w:r>
          </w:p>
          <w:p w:rsidR="00180C07" w:rsidRDefault="00180C07">
            <w:pPr>
              <w:autoSpaceDE w:val="0"/>
              <w:autoSpaceDN w:val="0"/>
              <w:adjustRightInd w:val="0"/>
              <w:rPr>
                <w:rFonts w:ascii="Calibri" w:hAnsi="Calibri" w:cs="Calibri"/>
                <w:b/>
                <w:bCs/>
                <w:color w:val="000000"/>
                <w:sz w:val="14"/>
                <w:szCs w:val="14"/>
              </w:rPr>
            </w:pPr>
            <w:r>
              <w:rPr>
                <w:rFonts w:ascii="Calibri" w:hAnsi="Calibri" w:cs="Calibri"/>
                <w:b/>
                <w:bCs/>
                <w:color w:val="000000"/>
                <w:sz w:val="14"/>
                <w:szCs w:val="14"/>
              </w:rPr>
              <w:t>Avail. Stnds.</w:t>
            </w:r>
          </w:p>
        </w:tc>
        <w:tc>
          <w:tcPr>
            <w:tcW w:w="72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Generator</w:t>
            </w:r>
          </w:p>
        </w:tc>
        <w:tc>
          <w:tcPr>
            <w:tcW w:w="72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98%</w:t>
            </w:r>
          </w:p>
        </w:tc>
        <w:tc>
          <w:tcPr>
            <w:tcW w:w="90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98%</w:t>
            </w:r>
          </w:p>
        </w:tc>
        <w:tc>
          <w:tcPr>
            <w:tcW w:w="72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96%</w:t>
            </w:r>
          </w:p>
        </w:tc>
        <w:tc>
          <w:tcPr>
            <w:tcW w:w="81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95%</w:t>
            </w:r>
          </w:p>
        </w:tc>
        <w:tc>
          <w:tcPr>
            <w:tcW w:w="81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95%</w:t>
            </w:r>
          </w:p>
        </w:tc>
        <w:tc>
          <w:tcPr>
            <w:tcW w:w="81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97%</w:t>
            </w:r>
          </w:p>
        </w:tc>
        <w:tc>
          <w:tcPr>
            <w:tcW w:w="72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96%</w:t>
            </w:r>
          </w:p>
        </w:tc>
        <w:tc>
          <w:tcPr>
            <w:tcW w:w="81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96%</w:t>
            </w:r>
          </w:p>
        </w:tc>
        <w:tc>
          <w:tcPr>
            <w:tcW w:w="81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96%</w:t>
            </w:r>
          </w:p>
        </w:tc>
        <w:tc>
          <w:tcPr>
            <w:tcW w:w="81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98%</w:t>
            </w:r>
          </w:p>
        </w:tc>
        <w:tc>
          <w:tcPr>
            <w:tcW w:w="80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96%</w:t>
            </w:r>
          </w:p>
        </w:tc>
        <w:tc>
          <w:tcPr>
            <w:tcW w:w="72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98%</w:t>
            </w:r>
          </w:p>
        </w:tc>
      </w:tr>
      <w:tr w:rsidR="00180C07" w:rsidTr="00DA6508">
        <w:trPr>
          <w:trHeight w:val="192"/>
        </w:trPr>
        <w:tc>
          <w:tcPr>
            <w:tcW w:w="970" w:type="dxa"/>
            <w:tcBorders>
              <w:top w:val="single" w:sz="6" w:space="0" w:color="auto"/>
              <w:left w:val="single" w:sz="6" w:space="0" w:color="auto"/>
              <w:bottom w:val="single" w:sz="6" w:space="0" w:color="auto"/>
              <w:right w:val="single" w:sz="6" w:space="0" w:color="auto"/>
            </w:tcBorders>
          </w:tcPr>
          <w:p w:rsidR="00180C07" w:rsidRDefault="00180C07">
            <w:pPr>
              <w:autoSpaceDE w:val="0"/>
              <w:autoSpaceDN w:val="0"/>
              <w:adjustRightInd w:val="0"/>
              <w:jc w:val="right"/>
              <w:rPr>
                <w:rFonts w:ascii="Calibri" w:hAnsi="Calibri" w:cs="Calibri"/>
                <w:b/>
                <w:bCs/>
                <w:color w:val="000000"/>
                <w:sz w:val="14"/>
                <w:szCs w:val="14"/>
              </w:rPr>
            </w:pPr>
          </w:p>
        </w:tc>
        <w:tc>
          <w:tcPr>
            <w:tcW w:w="72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Intertie</w:t>
            </w:r>
          </w:p>
        </w:tc>
        <w:tc>
          <w:tcPr>
            <w:tcW w:w="72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98%</w:t>
            </w:r>
          </w:p>
        </w:tc>
        <w:tc>
          <w:tcPr>
            <w:tcW w:w="90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98%</w:t>
            </w:r>
          </w:p>
        </w:tc>
        <w:tc>
          <w:tcPr>
            <w:tcW w:w="72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96%</w:t>
            </w:r>
          </w:p>
        </w:tc>
        <w:tc>
          <w:tcPr>
            <w:tcW w:w="81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95%</w:t>
            </w:r>
          </w:p>
        </w:tc>
        <w:tc>
          <w:tcPr>
            <w:tcW w:w="81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95%</w:t>
            </w:r>
          </w:p>
        </w:tc>
        <w:tc>
          <w:tcPr>
            <w:tcW w:w="81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97%</w:t>
            </w:r>
          </w:p>
        </w:tc>
        <w:tc>
          <w:tcPr>
            <w:tcW w:w="72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96%</w:t>
            </w:r>
          </w:p>
        </w:tc>
        <w:tc>
          <w:tcPr>
            <w:tcW w:w="81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96%</w:t>
            </w:r>
          </w:p>
        </w:tc>
        <w:tc>
          <w:tcPr>
            <w:tcW w:w="81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96%</w:t>
            </w:r>
          </w:p>
        </w:tc>
        <w:tc>
          <w:tcPr>
            <w:tcW w:w="81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98%</w:t>
            </w:r>
          </w:p>
        </w:tc>
        <w:tc>
          <w:tcPr>
            <w:tcW w:w="80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96%</w:t>
            </w:r>
          </w:p>
        </w:tc>
        <w:tc>
          <w:tcPr>
            <w:tcW w:w="72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98%</w:t>
            </w:r>
          </w:p>
        </w:tc>
      </w:tr>
      <w:tr w:rsidR="00180C07" w:rsidTr="00DA6508">
        <w:trPr>
          <w:trHeight w:val="305"/>
        </w:trPr>
        <w:tc>
          <w:tcPr>
            <w:tcW w:w="970" w:type="dxa"/>
            <w:tcBorders>
              <w:top w:val="single" w:sz="6" w:space="0" w:color="auto"/>
              <w:left w:val="single" w:sz="6" w:space="0" w:color="auto"/>
              <w:bottom w:val="single" w:sz="6" w:space="0" w:color="auto"/>
              <w:right w:val="single" w:sz="6" w:space="0" w:color="auto"/>
            </w:tcBorders>
          </w:tcPr>
          <w:p w:rsidR="00180C07" w:rsidRDefault="00180C07">
            <w:pPr>
              <w:autoSpaceDE w:val="0"/>
              <w:autoSpaceDN w:val="0"/>
              <w:adjustRightInd w:val="0"/>
              <w:rPr>
                <w:rFonts w:ascii="Calibri" w:hAnsi="Calibri" w:cs="Calibri"/>
                <w:b/>
                <w:bCs/>
                <w:color w:val="000000"/>
                <w:sz w:val="14"/>
                <w:szCs w:val="14"/>
              </w:rPr>
            </w:pPr>
            <w:r>
              <w:rPr>
                <w:rFonts w:ascii="Calibri" w:hAnsi="Calibri" w:cs="Calibri"/>
                <w:b/>
                <w:bCs/>
                <w:color w:val="000000"/>
                <w:sz w:val="14"/>
                <w:szCs w:val="14"/>
              </w:rPr>
              <w:t>Non-Avail.</w:t>
            </w:r>
          </w:p>
          <w:p w:rsidR="00180C07" w:rsidRDefault="00180C07">
            <w:pPr>
              <w:autoSpaceDE w:val="0"/>
              <w:autoSpaceDN w:val="0"/>
              <w:adjustRightInd w:val="0"/>
              <w:rPr>
                <w:rFonts w:ascii="Calibri" w:hAnsi="Calibri" w:cs="Calibri"/>
                <w:b/>
                <w:bCs/>
                <w:color w:val="000000"/>
                <w:sz w:val="14"/>
                <w:szCs w:val="14"/>
              </w:rPr>
            </w:pPr>
            <w:r>
              <w:rPr>
                <w:rFonts w:ascii="Calibri" w:hAnsi="Calibri" w:cs="Calibri"/>
                <w:b/>
                <w:bCs/>
                <w:color w:val="000000"/>
                <w:sz w:val="14"/>
                <w:szCs w:val="14"/>
              </w:rPr>
              <w:t>Charges</w:t>
            </w:r>
          </w:p>
        </w:tc>
        <w:tc>
          <w:tcPr>
            <w:tcW w:w="72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Generator</w:t>
            </w:r>
          </w:p>
        </w:tc>
        <w:tc>
          <w:tcPr>
            <w:tcW w:w="72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$219,403</w:t>
            </w:r>
          </w:p>
        </w:tc>
        <w:tc>
          <w:tcPr>
            <w:tcW w:w="90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$316,375</w:t>
            </w:r>
          </w:p>
        </w:tc>
        <w:tc>
          <w:tcPr>
            <w:tcW w:w="72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$681,052</w:t>
            </w:r>
          </w:p>
        </w:tc>
        <w:tc>
          <w:tcPr>
            <w:tcW w:w="81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$1,219,631</w:t>
            </w:r>
          </w:p>
        </w:tc>
        <w:tc>
          <w:tcPr>
            <w:tcW w:w="81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$1,088,173</w:t>
            </w:r>
          </w:p>
        </w:tc>
        <w:tc>
          <w:tcPr>
            <w:tcW w:w="81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$1,279,459</w:t>
            </w:r>
          </w:p>
        </w:tc>
        <w:tc>
          <w:tcPr>
            <w:tcW w:w="72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$554,338</w:t>
            </w:r>
          </w:p>
        </w:tc>
        <w:tc>
          <w:tcPr>
            <w:tcW w:w="81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$4,120,218</w:t>
            </w:r>
          </w:p>
        </w:tc>
        <w:tc>
          <w:tcPr>
            <w:tcW w:w="81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$2,099,562</w:t>
            </w:r>
          </w:p>
        </w:tc>
        <w:tc>
          <w:tcPr>
            <w:tcW w:w="81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$1,336,811</w:t>
            </w:r>
          </w:p>
        </w:tc>
        <w:tc>
          <w:tcPr>
            <w:tcW w:w="80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$1,622,840</w:t>
            </w:r>
          </w:p>
        </w:tc>
        <w:tc>
          <w:tcPr>
            <w:tcW w:w="72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$885,087</w:t>
            </w:r>
          </w:p>
        </w:tc>
      </w:tr>
      <w:tr w:rsidR="00180C07" w:rsidTr="00DA6508">
        <w:trPr>
          <w:trHeight w:val="66"/>
        </w:trPr>
        <w:tc>
          <w:tcPr>
            <w:tcW w:w="970" w:type="dxa"/>
            <w:tcBorders>
              <w:top w:val="single" w:sz="6" w:space="0" w:color="auto"/>
              <w:left w:val="single" w:sz="6" w:space="0" w:color="auto"/>
              <w:bottom w:val="single" w:sz="6" w:space="0" w:color="auto"/>
              <w:right w:val="single" w:sz="6" w:space="0" w:color="auto"/>
            </w:tcBorders>
          </w:tcPr>
          <w:p w:rsidR="00180C07" w:rsidRDefault="00180C07">
            <w:pPr>
              <w:autoSpaceDE w:val="0"/>
              <w:autoSpaceDN w:val="0"/>
              <w:adjustRightInd w:val="0"/>
              <w:jc w:val="right"/>
              <w:rPr>
                <w:rFonts w:ascii="Calibri" w:hAnsi="Calibri" w:cs="Calibri"/>
                <w:b/>
                <w:bCs/>
                <w:color w:val="000000"/>
                <w:sz w:val="14"/>
                <w:szCs w:val="14"/>
              </w:rPr>
            </w:pPr>
          </w:p>
        </w:tc>
        <w:tc>
          <w:tcPr>
            <w:tcW w:w="72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Intertie</w:t>
            </w:r>
          </w:p>
        </w:tc>
        <w:tc>
          <w:tcPr>
            <w:tcW w:w="72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$68,793</w:t>
            </w:r>
          </w:p>
        </w:tc>
        <w:tc>
          <w:tcPr>
            <w:tcW w:w="90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$47,376</w:t>
            </w:r>
          </w:p>
        </w:tc>
        <w:tc>
          <w:tcPr>
            <w:tcW w:w="72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$55,041</w:t>
            </w:r>
          </w:p>
        </w:tc>
        <w:tc>
          <w:tcPr>
            <w:tcW w:w="81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$170,714</w:t>
            </w:r>
          </w:p>
        </w:tc>
        <w:tc>
          <w:tcPr>
            <w:tcW w:w="81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$32,515</w:t>
            </w:r>
          </w:p>
        </w:tc>
        <w:tc>
          <w:tcPr>
            <w:tcW w:w="81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$456,494</w:t>
            </w:r>
          </w:p>
        </w:tc>
        <w:tc>
          <w:tcPr>
            <w:tcW w:w="72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$913,075</w:t>
            </w:r>
          </w:p>
        </w:tc>
        <w:tc>
          <w:tcPr>
            <w:tcW w:w="81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$222,827</w:t>
            </w:r>
          </w:p>
        </w:tc>
        <w:tc>
          <w:tcPr>
            <w:tcW w:w="81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$3,592</w:t>
            </w:r>
          </w:p>
        </w:tc>
        <w:tc>
          <w:tcPr>
            <w:tcW w:w="81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$90,977</w:t>
            </w:r>
          </w:p>
        </w:tc>
        <w:tc>
          <w:tcPr>
            <w:tcW w:w="80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$4,676</w:t>
            </w:r>
          </w:p>
        </w:tc>
        <w:tc>
          <w:tcPr>
            <w:tcW w:w="72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$36,376</w:t>
            </w:r>
          </w:p>
        </w:tc>
      </w:tr>
      <w:tr w:rsidR="00180C07" w:rsidTr="00DA6508">
        <w:trPr>
          <w:trHeight w:val="305"/>
        </w:trPr>
        <w:tc>
          <w:tcPr>
            <w:tcW w:w="970" w:type="dxa"/>
            <w:tcBorders>
              <w:top w:val="single" w:sz="6" w:space="0" w:color="auto"/>
              <w:left w:val="single" w:sz="6" w:space="0" w:color="auto"/>
              <w:bottom w:val="single" w:sz="6" w:space="0" w:color="auto"/>
              <w:right w:val="single" w:sz="6" w:space="0" w:color="auto"/>
            </w:tcBorders>
          </w:tcPr>
          <w:p w:rsidR="00180C07" w:rsidRDefault="009C3C19" w:rsidP="00180C07">
            <w:pPr>
              <w:autoSpaceDE w:val="0"/>
              <w:autoSpaceDN w:val="0"/>
              <w:adjustRightInd w:val="0"/>
              <w:rPr>
                <w:rFonts w:ascii="Calibri" w:hAnsi="Calibri" w:cs="Calibri"/>
                <w:b/>
                <w:bCs/>
                <w:color w:val="000000"/>
                <w:sz w:val="14"/>
                <w:szCs w:val="14"/>
              </w:rPr>
            </w:pPr>
            <w:r>
              <w:rPr>
                <w:rFonts w:ascii="Calibri" w:hAnsi="Calibri" w:cs="Calibri"/>
                <w:b/>
                <w:bCs/>
                <w:color w:val="000000"/>
                <w:sz w:val="14"/>
                <w:szCs w:val="14"/>
              </w:rPr>
              <w:t>Avail. Incentive payments</w:t>
            </w:r>
          </w:p>
        </w:tc>
        <w:tc>
          <w:tcPr>
            <w:tcW w:w="72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Generator</w:t>
            </w:r>
          </w:p>
        </w:tc>
        <w:tc>
          <w:tcPr>
            <w:tcW w:w="72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w:t>
            </w:r>
          </w:p>
        </w:tc>
        <w:tc>
          <w:tcPr>
            <w:tcW w:w="90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w:t>
            </w:r>
          </w:p>
        </w:tc>
        <w:tc>
          <w:tcPr>
            <w:tcW w:w="72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$681,052</w:t>
            </w:r>
          </w:p>
        </w:tc>
        <w:tc>
          <w:tcPr>
            <w:tcW w:w="81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$1,219,631</w:t>
            </w:r>
          </w:p>
        </w:tc>
        <w:tc>
          <w:tcPr>
            <w:tcW w:w="81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$1,088,173</w:t>
            </w:r>
          </w:p>
        </w:tc>
        <w:tc>
          <w:tcPr>
            <w:tcW w:w="81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$1,184,030</w:t>
            </w:r>
          </w:p>
        </w:tc>
        <w:tc>
          <w:tcPr>
            <w:tcW w:w="72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$554,338</w:t>
            </w:r>
          </w:p>
        </w:tc>
        <w:tc>
          <w:tcPr>
            <w:tcW w:w="81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$3,720,905</w:t>
            </w:r>
          </w:p>
        </w:tc>
        <w:tc>
          <w:tcPr>
            <w:tcW w:w="81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$2,099,562</w:t>
            </w:r>
          </w:p>
        </w:tc>
        <w:tc>
          <w:tcPr>
            <w:tcW w:w="81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w:t>
            </w:r>
          </w:p>
        </w:tc>
        <w:tc>
          <w:tcPr>
            <w:tcW w:w="80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$1,622,840</w:t>
            </w:r>
          </w:p>
        </w:tc>
        <w:tc>
          <w:tcPr>
            <w:tcW w:w="72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w:t>
            </w:r>
          </w:p>
        </w:tc>
      </w:tr>
      <w:tr w:rsidR="00180C07" w:rsidTr="00DA6508">
        <w:trPr>
          <w:trHeight w:val="120"/>
        </w:trPr>
        <w:tc>
          <w:tcPr>
            <w:tcW w:w="970" w:type="dxa"/>
            <w:tcBorders>
              <w:top w:val="single" w:sz="6" w:space="0" w:color="auto"/>
              <w:left w:val="single" w:sz="6" w:space="0" w:color="auto"/>
              <w:bottom w:val="single" w:sz="6" w:space="0" w:color="auto"/>
              <w:right w:val="single" w:sz="6" w:space="0" w:color="auto"/>
            </w:tcBorders>
          </w:tcPr>
          <w:p w:rsidR="00180C07" w:rsidRDefault="00180C07">
            <w:pPr>
              <w:autoSpaceDE w:val="0"/>
              <w:autoSpaceDN w:val="0"/>
              <w:adjustRightInd w:val="0"/>
              <w:jc w:val="right"/>
              <w:rPr>
                <w:rFonts w:ascii="Calibri" w:hAnsi="Calibri" w:cs="Calibri"/>
                <w:b/>
                <w:bCs/>
                <w:color w:val="000000"/>
                <w:sz w:val="14"/>
                <w:szCs w:val="14"/>
              </w:rPr>
            </w:pPr>
          </w:p>
        </w:tc>
        <w:tc>
          <w:tcPr>
            <w:tcW w:w="72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Intertie</w:t>
            </w:r>
          </w:p>
        </w:tc>
        <w:tc>
          <w:tcPr>
            <w:tcW w:w="72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w:t>
            </w:r>
          </w:p>
        </w:tc>
        <w:tc>
          <w:tcPr>
            <w:tcW w:w="90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w:t>
            </w:r>
          </w:p>
        </w:tc>
        <w:tc>
          <w:tcPr>
            <w:tcW w:w="72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$22,033</w:t>
            </w:r>
          </w:p>
        </w:tc>
        <w:tc>
          <w:tcPr>
            <w:tcW w:w="81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$53,344</w:t>
            </w:r>
          </w:p>
        </w:tc>
        <w:tc>
          <w:tcPr>
            <w:tcW w:w="81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$32,515</w:t>
            </w:r>
          </w:p>
        </w:tc>
        <w:tc>
          <w:tcPr>
            <w:tcW w:w="81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$31,116</w:t>
            </w:r>
          </w:p>
        </w:tc>
        <w:tc>
          <w:tcPr>
            <w:tcW w:w="72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$144,935</w:t>
            </w:r>
          </w:p>
        </w:tc>
        <w:tc>
          <w:tcPr>
            <w:tcW w:w="81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$199,353</w:t>
            </w:r>
          </w:p>
        </w:tc>
        <w:tc>
          <w:tcPr>
            <w:tcW w:w="81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$3,592</w:t>
            </w:r>
          </w:p>
        </w:tc>
        <w:tc>
          <w:tcPr>
            <w:tcW w:w="81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w:t>
            </w:r>
          </w:p>
        </w:tc>
        <w:tc>
          <w:tcPr>
            <w:tcW w:w="80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$4,676</w:t>
            </w:r>
          </w:p>
        </w:tc>
        <w:tc>
          <w:tcPr>
            <w:tcW w:w="72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w:t>
            </w:r>
          </w:p>
        </w:tc>
      </w:tr>
      <w:tr w:rsidR="00180C07" w:rsidTr="00DA6508">
        <w:trPr>
          <w:trHeight w:val="165"/>
        </w:trPr>
        <w:tc>
          <w:tcPr>
            <w:tcW w:w="970" w:type="dxa"/>
            <w:tcBorders>
              <w:top w:val="single" w:sz="6" w:space="0" w:color="auto"/>
              <w:left w:val="single" w:sz="6" w:space="0" w:color="auto"/>
              <w:bottom w:val="single" w:sz="6" w:space="0" w:color="auto"/>
              <w:right w:val="single" w:sz="6" w:space="0" w:color="auto"/>
            </w:tcBorders>
          </w:tcPr>
          <w:p w:rsidR="00180C07" w:rsidRDefault="00180C07">
            <w:pPr>
              <w:autoSpaceDE w:val="0"/>
              <w:autoSpaceDN w:val="0"/>
              <w:adjustRightInd w:val="0"/>
              <w:rPr>
                <w:rFonts w:ascii="Calibri" w:hAnsi="Calibri" w:cs="Calibri"/>
                <w:b/>
                <w:bCs/>
                <w:color w:val="000000"/>
                <w:sz w:val="14"/>
                <w:szCs w:val="14"/>
              </w:rPr>
            </w:pPr>
            <w:r>
              <w:rPr>
                <w:rFonts w:ascii="Calibri" w:hAnsi="Calibri" w:cs="Calibri"/>
                <w:b/>
                <w:bCs/>
                <w:color w:val="000000"/>
                <w:sz w:val="14"/>
                <w:szCs w:val="14"/>
              </w:rPr>
              <w:t>Mthly. Surplus</w:t>
            </w:r>
          </w:p>
        </w:tc>
        <w:tc>
          <w:tcPr>
            <w:tcW w:w="72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Generator</w:t>
            </w:r>
          </w:p>
        </w:tc>
        <w:tc>
          <w:tcPr>
            <w:tcW w:w="72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$219,403</w:t>
            </w:r>
          </w:p>
        </w:tc>
        <w:tc>
          <w:tcPr>
            <w:tcW w:w="90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$316,375</w:t>
            </w:r>
          </w:p>
        </w:tc>
        <w:tc>
          <w:tcPr>
            <w:tcW w:w="72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w:t>
            </w:r>
          </w:p>
        </w:tc>
        <w:tc>
          <w:tcPr>
            <w:tcW w:w="81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w:t>
            </w:r>
          </w:p>
        </w:tc>
        <w:tc>
          <w:tcPr>
            <w:tcW w:w="81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w:t>
            </w:r>
          </w:p>
        </w:tc>
        <w:tc>
          <w:tcPr>
            <w:tcW w:w="81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$95,429</w:t>
            </w:r>
          </w:p>
        </w:tc>
        <w:tc>
          <w:tcPr>
            <w:tcW w:w="72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w:t>
            </w:r>
          </w:p>
        </w:tc>
        <w:tc>
          <w:tcPr>
            <w:tcW w:w="81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$399,314</w:t>
            </w:r>
          </w:p>
        </w:tc>
        <w:tc>
          <w:tcPr>
            <w:tcW w:w="81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w:t>
            </w:r>
          </w:p>
        </w:tc>
        <w:tc>
          <w:tcPr>
            <w:tcW w:w="81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$1,336,811</w:t>
            </w:r>
          </w:p>
        </w:tc>
        <w:tc>
          <w:tcPr>
            <w:tcW w:w="80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w:t>
            </w:r>
          </w:p>
        </w:tc>
        <w:tc>
          <w:tcPr>
            <w:tcW w:w="72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$885,087</w:t>
            </w:r>
          </w:p>
        </w:tc>
      </w:tr>
      <w:tr w:rsidR="00180C07" w:rsidTr="00DA6508">
        <w:trPr>
          <w:trHeight w:val="138"/>
        </w:trPr>
        <w:tc>
          <w:tcPr>
            <w:tcW w:w="970" w:type="dxa"/>
            <w:tcBorders>
              <w:top w:val="single" w:sz="6" w:space="0" w:color="auto"/>
              <w:left w:val="single" w:sz="6" w:space="0" w:color="auto"/>
              <w:bottom w:val="single" w:sz="6" w:space="0" w:color="auto"/>
              <w:right w:val="single" w:sz="6" w:space="0" w:color="auto"/>
            </w:tcBorders>
          </w:tcPr>
          <w:p w:rsidR="00180C07" w:rsidRDefault="00180C07">
            <w:pPr>
              <w:autoSpaceDE w:val="0"/>
              <w:autoSpaceDN w:val="0"/>
              <w:adjustRightInd w:val="0"/>
              <w:jc w:val="right"/>
              <w:rPr>
                <w:rFonts w:ascii="Calibri" w:hAnsi="Calibri" w:cs="Calibri"/>
                <w:b/>
                <w:bCs/>
                <w:color w:val="000000"/>
                <w:sz w:val="14"/>
                <w:szCs w:val="14"/>
              </w:rPr>
            </w:pPr>
          </w:p>
        </w:tc>
        <w:tc>
          <w:tcPr>
            <w:tcW w:w="72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Intertie</w:t>
            </w:r>
          </w:p>
        </w:tc>
        <w:tc>
          <w:tcPr>
            <w:tcW w:w="72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$68,793</w:t>
            </w:r>
          </w:p>
        </w:tc>
        <w:tc>
          <w:tcPr>
            <w:tcW w:w="90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$47,376</w:t>
            </w:r>
          </w:p>
        </w:tc>
        <w:tc>
          <w:tcPr>
            <w:tcW w:w="72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$33,008</w:t>
            </w:r>
          </w:p>
        </w:tc>
        <w:tc>
          <w:tcPr>
            <w:tcW w:w="81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$117,370</w:t>
            </w:r>
          </w:p>
        </w:tc>
        <w:tc>
          <w:tcPr>
            <w:tcW w:w="81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w:t>
            </w:r>
          </w:p>
        </w:tc>
        <w:tc>
          <w:tcPr>
            <w:tcW w:w="81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$425,378</w:t>
            </w:r>
          </w:p>
        </w:tc>
        <w:tc>
          <w:tcPr>
            <w:tcW w:w="72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$768,140</w:t>
            </w:r>
          </w:p>
        </w:tc>
        <w:tc>
          <w:tcPr>
            <w:tcW w:w="81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$23,474</w:t>
            </w:r>
          </w:p>
        </w:tc>
        <w:tc>
          <w:tcPr>
            <w:tcW w:w="81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w:t>
            </w:r>
          </w:p>
        </w:tc>
        <w:tc>
          <w:tcPr>
            <w:tcW w:w="81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$90,977</w:t>
            </w:r>
          </w:p>
        </w:tc>
        <w:tc>
          <w:tcPr>
            <w:tcW w:w="80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w:t>
            </w:r>
          </w:p>
        </w:tc>
        <w:tc>
          <w:tcPr>
            <w:tcW w:w="72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$36,376</w:t>
            </w:r>
          </w:p>
        </w:tc>
      </w:tr>
      <w:tr w:rsidR="00180C07" w:rsidTr="00DA6508">
        <w:trPr>
          <w:trHeight w:val="290"/>
        </w:trPr>
        <w:tc>
          <w:tcPr>
            <w:tcW w:w="970" w:type="dxa"/>
            <w:tcBorders>
              <w:top w:val="single" w:sz="6" w:space="0" w:color="auto"/>
              <w:left w:val="single" w:sz="6" w:space="0" w:color="auto"/>
              <w:bottom w:val="single" w:sz="6" w:space="0" w:color="auto"/>
              <w:right w:val="single" w:sz="6" w:space="0" w:color="auto"/>
            </w:tcBorders>
          </w:tcPr>
          <w:p w:rsidR="00180C07" w:rsidRDefault="00180C07">
            <w:pPr>
              <w:autoSpaceDE w:val="0"/>
              <w:autoSpaceDN w:val="0"/>
              <w:adjustRightInd w:val="0"/>
              <w:rPr>
                <w:rFonts w:ascii="Calibri" w:hAnsi="Calibri" w:cs="Calibri"/>
                <w:b/>
                <w:bCs/>
                <w:color w:val="000000"/>
                <w:sz w:val="14"/>
                <w:szCs w:val="14"/>
              </w:rPr>
            </w:pPr>
            <w:r>
              <w:rPr>
                <w:rFonts w:ascii="Calibri" w:hAnsi="Calibri" w:cs="Calibri"/>
                <w:b/>
                <w:bCs/>
                <w:color w:val="000000"/>
                <w:sz w:val="14"/>
                <w:szCs w:val="14"/>
              </w:rPr>
              <w:t xml:space="preserve">Averarge Actual </w:t>
            </w:r>
          </w:p>
          <w:p w:rsidR="00180C07" w:rsidRDefault="00180C07">
            <w:pPr>
              <w:autoSpaceDE w:val="0"/>
              <w:autoSpaceDN w:val="0"/>
              <w:adjustRightInd w:val="0"/>
              <w:rPr>
                <w:rFonts w:ascii="Calibri" w:hAnsi="Calibri" w:cs="Calibri"/>
                <w:b/>
                <w:bCs/>
                <w:color w:val="000000"/>
                <w:sz w:val="14"/>
                <w:szCs w:val="14"/>
              </w:rPr>
            </w:pPr>
            <w:r>
              <w:rPr>
                <w:rFonts w:ascii="Calibri" w:hAnsi="Calibri" w:cs="Calibri"/>
                <w:b/>
                <w:bCs/>
                <w:color w:val="000000"/>
                <w:sz w:val="14"/>
                <w:szCs w:val="14"/>
              </w:rPr>
              <w:t>Avail. (%)</w:t>
            </w:r>
          </w:p>
        </w:tc>
        <w:tc>
          <w:tcPr>
            <w:tcW w:w="72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Generator</w:t>
            </w:r>
          </w:p>
        </w:tc>
        <w:tc>
          <w:tcPr>
            <w:tcW w:w="72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99%</w:t>
            </w:r>
          </w:p>
        </w:tc>
        <w:tc>
          <w:tcPr>
            <w:tcW w:w="90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98%</w:t>
            </w:r>
          </w:p>
        </w:tc>
        <w:tc>
          <w:tcPr>
            <w:tcW w:w="72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98%</w:t>
            </w:r>
          </w:p>
        </w:tc>
        <w:tc>
          <w:tcPr>
            <w:tcW w:w="81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98%</w:t>
            </w:r>
          </w:p>
        </w:tc>
        <w:tc>
          <w:tcPr>
            <w:tcW w:w="81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98%</w:t>
            </w:r>
          </w:p>
        </w:tc>
        <w:tc>
          <w:tcPr>
            <w:tcW w:w="81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98%</w:t>
            </w:r>
          </w:p>
        </w:tc>
        <w:tc>
          <w:tcPr>
            <w:tcW w:w="72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98%</w:t>
            </w:r>
          </w:p>
        </w:tc>
        <w:tc>
          <w:tcPr>
            <w:tcW w:w="81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95%</w:t>
            </w:r>
          </w:p>
        </w:tc>
        <w:tc>
          <w:tcPr>
            <w:tcW w:w="81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97%</w:t>
            </w:r>
          </w:p>
        </w:tc>
        <w:tc>
          <w:tcPr>
            <w:tcW w:w="81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98%</w:t>
            </w:r>
          </w:p>
        </w:tc>
        <w:tc>
          <w:tcPr>
            <w:tcW w:w="80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97%</w:t>
            </w:r>
          </w:p>
        </w:tc>
        <w:tc>
          <w:tcPr>
            <w:tcW w:w="72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99%</w:t>
            </w:r>
          </w:p>
        </w:tc>
      </w:tr>
      <w:tr w:rsidR="00180C07" w:rsidTr="00DA6508">
        <w:trPr>
          <w:trHeight w:val="156"/>
        </w:trPr>
        <w:tc>
          <w:tcPr>
            <w:tcW w:w="970" w:type="dxa"/>
            <w:tcBorders>
              <w:top w:val="single" w:sz="6" w:space="0" w:color="auto"/>
              <w:left w:val="single" w:sz="6" w:space="0" w:color="auto"/>
              <w:bottom w:val="single" w:sz="6" w:space="0" w:color="auto"/>
              <w:right w:val="single" w:sz="6" w:space="0" w:color="auto"/>
            </w:tcBorders>
          </w:tcPr>
          <w:p w:rsidR="00180C07" w:rsidRDefault="00180C07">
            <w:pPr>
              <w:autoSpaceDE w:val="0"/>
              <w:autoSpaceDN w:val="0"/>
              <w:adjustRightInd w:val="0"/>
              <w:jc w:val="right"/>
              <w:rPr>
                <w:rFonts w:ascii="Calibri" w:hAnsi="Calibri" w:cs="Calibri"/>
                <w:b/>
                <w:bCs/>
                <w:color w:val="000000"/>
                <w:sz w:val="14"/>
                <w:szCs w:val="14"/>
              </w:rPr>
            </w:pPr>
          </w:p>
        </w:tc>
        <w:tc>
          <w:tcPr>
            <w:tcW w:w="72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Intertie</w:t>
            </w:r>
          </w:p>
        </w:tc>
        <w:tc>
          <w:tcPr>
            <w:tcW w:w="72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95%</w:t>
            </w:r>
          </w:p>
        </w:tc>
        <w:tc>
          <w:tcPr>
            <w:tcW w:w="90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96%</w:t>
            </w:r>
          </w:p>
        </w:tc>
        <w:tc>
          <w:tcPr>
            <w:tcW w:w="72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94%</w:t>
            </w:r>
          </w:p>
        </w:tc>
        <w:tc>
          <w:tcPr>
            <w:tcW w:w="81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78%</w:t>
            </w:r>
          </w:p>
        </w:tc>
        <w:tc>
          <w:tcPr>
            <w:tcW w:w="81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99%</w:t>
            </w:r>
          </w:p>
        </w:tc>
        <w:tc>
          <w:tcPr>
            <w:tcW w:w="81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81%</w:t>
            </w:r>
          </w:p>
        </w:tc>
        <w:tc>
          <w:tcPr>
            <w:tcW w:w="72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78%</w:t>
            </w:r>
          </w:p>
        </w:tc>
        <w:tc>
          <w:tcPr>
            <w:tcW w:w="81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95%</w:t>
            </w:r>
          </w:p>
        </w:tc>
        <w:tc>
          <w:tcPr>
            <w:tcW w:w="81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98%</w:t>
            </w:r>
          </w:p>
        </w:tc>
        <w:tc>
          <w:tcPr>
            <w:tcW w:w="81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94%</w:t>
            </w:r>
          </w:p>
        </w:tc>
        <w:tc>
          <w:tcPr>
            <w:tcW w:w="80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100%</w:t>
            </w:r>
          </w:p>
        </w:tc>
        <w:tc>
          <w:tcPr>
            <w:tcW w:w="72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97%</w:t>
            </w:r>
          </w:p>
        </w:tc>
      </w:tr>
      <w:tr w:rsidR="00180C07" w:rsidTr="00DA6508">
        <w:trPr>
          <w:trHeight w:val="290"/>
        </w:trPr>
        <w:tc>
          <w:tcPr>
            <w:tcW w:w="970" w:type="dxa"/>
            <w:tcBorders>
              <w:top w:val="single" w:sz="6" w:space="0" w:color="auto"/>
              <w:left w:val="single" w:sz="6" w:space="0" w:color="auto"/>
              <w:bottom w:val="single" w:sz="6" w:space="0" w:color="auto"/>
              <w:right w:val="single" w:sz="6" w:space="0" w:color="auto"/>
            </w:tcBorders>
          </w:tcPr>
          <w:p w:rsidR="00180C07" w:rsidRDefault="00180C07">
            <w:pPr>
              <w:autoSpaceDE w:val="0"/>
              <w:autoSpaceDN w:val="0"/>
              <w:adjustRightInd w:val="0"/>
              <w:rPr>
                <w:rFonts w:ascii="Calibri" w:hAnsi="Calibri" w:cs="Calibri"/>
                <w:b/>
                <w:bCs/>
                <w:color w:val="000000"/>
                <w:sz w:val="14"/>
                <w:szCs w:val="14"/>
              </w:rPr>
            </w:pPr>
            <w:r>
              <w:rPr>
                <w:rFonts w:ascii="Calibri" w:hAnsi="Calibri" w:cs="Calibri"/>
                <w:b/>
                <w:bCs/>
                <w:color w:val="000000"/>
                <w:sz w:val="14"/>
                <w:szCs w:val="14"/>
              </w:rPr>
              <w:t>RA Capacity (MW)</w:t>
            </w:r>
          </w:p>
          <w:p w:rsidR="00180C07" w:rsidRDefault="00180C07">
            <w:pPr>
              <w:autoSpaceDE w:val="0"/>
              <w:autoSpaceDN w:val="0"/>
              <w:adjustRightInd w:val="0"/>
              <w:rPr>
                <w:rFonts w:ascii="Calibri" w:hAnsi="Calibri" w:cs="Calibri"/>
                <w:b/>
                <w:bCs/>
                <w:color w:val="000000"/>
                <w:sz w:val="14"/>
                <w:szCs w:val="14"/>
              </w:rPr>
            </w:pPr>
            <w:r>
              <w:rPr>
                <w:rFonts w:ascii="Calibri" w:hAnsi="Calibri" w:cs="Calibri"/>
                <w:b/>
                <w:bCs/>
                <w:color w:val="000000"/>
                <w:sz w:val="14"/>
                <w:szCs w:val="14"/>
              </w:rPr>
              <w:t>subject to SCP</w:t>
            </w:r>
          </w:p>
        </w:tc>
        <w:tc>
          <w:tcPr>
            <w:tcW w:w="72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Generator</w:t>
            </w:r>
          </w:p>
        </w:tc>
        <w:tc>
          <w:tcPr>
            <w:tcW w:w="72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16,791</w:t>
            </w:r>
          </w:p>
        </w:tc>
        <w:tc>
          <w:tcPr>
            <w:tcW w:w="90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17,395</w:t>
            </w:r>
          </w:p>
        </w:tc>
        <w:tc>
          <w:tcPr>
            <w:tcW w:w="72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18,331</w:t>
            </w:r>
          </w:p>
        </w:tc>
        <w:tc>
          <w:tcPr>
            <w:tcW w:w="81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19,448</w:t>
            </w:r>
          </w:p>
        </w:tc>
        <w:tc>
          <w:tcPr>
            <w:tcW w:w="81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20,996</w:t>
            </w:r>
          </w:p>
        </w:tc>
        <w:tc>
          <w:tcPr>
            <w:tcW w:w="81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23,890</w:t>
            </w:r>
          </w:p>
        </w:tc>
        <w:tc>
          <w:tcPr>
            <w:tcW w:w="72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25,703</w:t>
            </w:r>
          </w:p>
        </w:tc>
        <w:tc>
          <w:tcPr>
            <w:tcW w:w="81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27,216</w:t>
            </w:r>
          </w:p>
        </w:tc>
        <w:tc>
          <w:tcPr>
            <w:tcW w:w="81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24,976</w:t>
            </w:r>
          </w:p>
        </w:tc>
        <w:tc>
          <w:tcPr>
            <w:tcW w:w="81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21,267</w:t>
            </w:r>
          </w:p>
        </w:tc>
        <w:tc>
          <w:tcPr>
            <w:tcW w:w="80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19,660</w:t>
            </w:r>
          </w:p>
        </w:tc>
        <w:tc>
          <w:tcPr>
            <w:tcW w:w="72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20,587</w:t>
            </w:r>
          </w:p>
        </w:tc>
      </w:tr>
      <w:tr w:rsidR="00180C07" w:rsidTr="00DA6508">
        <w:trPr>
          <w:trHeight w:val="246"/>
        </w:trPr>
        <w:tc>
          <w:tcPr>
            <w:tcW w:w="970" w:type="dxa"/>
            <w:tcBorders>
              <w:top w:val="single" w:sz="6" w:space="0" w:color="auto"/>
              <w:left w:val="single" w:sz="6" w:space="0" w:color="auto"/>
              <w:bottom w:val="single" w:sz="6" w:space="0" w:color="auto"/>
              <w:right w:val="single" w:sz="6" w:space="0" w:color="auto"/>
            </w:tcBorders>
          </w:tcPr>
          <w:p w:rsidR="00180C07" w:rsidRDefault="00180C07">
            <w:pPr>
              <w:autoSpaceDE w:val="0"/>
              <w:autoSpaceDN w:val="0"/>
              <w:adjustRightInd w:val="0"/>
              <w:jc w:val="right"/>
              <w:rPr>
                <w:rFonts w:ascii="Calibri" w:hAnsi="Calibri" w:cs="Calibri"/>
                <w:b/>
                <w:bCs/>
                <w:color w:val="000000"/>
                <w:sz w:val="14"/>
                <w:szCs w:val="14"/>
              </w:rPr>
            </w:pPr>
          </w:p>
        </w:tc>
        <w:tc>
          <w:tcPr>
            <w:tcW w:w="72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b/>
                <w:bCs/>
                <w:color w:val="000000"/>
                <w:sz w:val="14"/>
                <w:szCs w:val="14"/>
              </w:rPr>
            </w:pPr>
            <w:r>
              <w:rPr>
                <w:rFonts w:ascii="Calibri" w:hAnsi="Calibri" w:cs="Calibri"/>
                <w:b/>
                <w:bCs/>
                <w:color w:val="000000"/>
                <w:sz w:val="14"/>
                <w:szCs w:val="14"/>
              </w:rPr>
              <w:t>Intertie</w:t>
            </w:r>
          </w:p>
        </w:tc>
        <w:tc>
          <w:tcPr>
            <w:tcW w:w="72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407</w:t>
            </w:r>
          </w:p>
        </w:tc>
        <w:tc>
          <w:tcPr>
            <w:tcW w:w="90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432</w:t>
            </w:r>
          </w:p>
        </w:tc>
        <w:tc>
          <w:tcPr>
            <w:tcW w:w="72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464</w:t>
            </w:r>
          </w:p>
        </w:tc>
        <w:tc>
          <w:tcPr>
            <w:tcW w:w="81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174</w:t>
            </w:r>
          </w:p>
        </w:tc>
        <w:tc>
          <w:tcPr>
            <w:tcW w:w="81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804</w:t>
            </w:r>
          </w:p>
        </w:tc>
        <w:tc>
          <w:tcPr>
            <w:tcW w:w="81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515</w:t>
            </w:r>
          </w:p>
        </w:tc>
        <w:tc>
          <w:tcPr>
            <w:tcW w:w="72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925</w:t>
            </w:r>
          </w:p>
        </w:tc>
        <w:tc>
          <w:tcPr>
            <w:tcW w:w="81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1,092</w:t>
            </w:r>
          </w:p>
        </w:tc>
        <w:tc>
          <w:tcPr>
            <w:tcW w:w="81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862</w:t>
            </w:r>
          </w:p>
        </w:tc>
        <w:tc>
          <w:tcPr>
            <w:tcW w:w="81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463</w:t>
            </w:r>
          </w:p>
        </w:tc>
        <w:tc>
          <w:tcPr>
            <w:tcW w:w="80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463</w:t>
            </w:r>
          </w:p>
        </w:tc>
        <w:tc>
          <w:tcPr>
            <w:tcW w:w="720" w:type="dxa"/>
            <w:tcBorders>
              <w:top w:val="single" w:sz="6" w:space="0" w:color="auto"/>
              <w:left w:val="single" w:sz="6" w:space="0" w:color="auto"/>
              <w:bottom w:val="single" w:sz="6" w:space="0" w:color="auto"/>
              <w:right w:val="single" w:sz="6" w:space="0" w:color="auto"/>
            </w:tcBorders>
          </w:tcPr>
          <w:p w:rsidR="00180C07" w:rsidRDefault="00180C07" w:rsidP="00DA6508">
            <w:pPr>
              <w:autoSpaceDE w:val="0"/>
              <w:autoSpaceDN w:val="0"/>
              <w:adjustRightInd w:val="0"/>
              <w:jc w:val="center"/>
              <w:rPr>
                <w:rFonts w:ascii="Calibri" w:hAnsi="Calibri" w:cs="Calibri"/>
                <w:color w:val="000000"/>
                <w:sz w:val="14"/>
                <w:szCs w:val="14"/>
              </w:rPr>
            </w:pPr>
            <w:r>
              <w:rPr>
                <w:rFonts w:ascii="Calibri" w:hAnsi="Calibri" w:cs="Calibri"/>
                <w:color w:val="000000"/>
                <w:sz w:val="14"/>
                <w:szCs w:val="14"/>
              </w:rPr>
              <w:t>476</w:t>
            </w:r>
          </w:p>
        </w:tc>
      </w:tr>
    </w:tbl>
    <w:p w:rsidR="00B3535E" w:rsidRPr="00B3535E" w:rsidRDefault="00AE7D50" w:rsidP="00B3535E">
      <w:pPr>
        <w:keepNext/>
        <w:keepLines/>
      </w:pPr>
      <w:r w:rsidRPr="00AD151D">
        <w:rPr>
          <w:sz w:val="20"/>
          <w:szCs w:val="20"/>
        </w:rPr>
        <w:t xml:space="preserve"> Source: CAISO 201</w:t>
      </w:r>
      <w:r w:rsidR="003D16C2" w:rsidRPr="00AD151D">
        <w:rPr>
          <w:sz w:val="20"/>
          <w:szCs w:val="20"/>
        </w:rPr>
        <w:t>1</w:t>
      </w:r>
      <w:r w:rsidRPr="00AD151D">
        <w:rPr>
          <w:sz w:val="20"/>
          <w:szCs w:val="20"/>
        </w:rPr>
        <w:t xml:space="preserve"> Standard Capacity Product Report </w:t>
      </w:r>
      <w:r w:rsidR="003D16C2" w:rsidRPr="00AD151D">
        <w:rPr>
          <w:sz w:val="20"/>
          <w:szCs w:val="20"/>
        </w:rPr>
        <w:t>http://www.caiso.com/Documents/2011StandardCapacityProductAnnualReport.pdf</w:t>
      </w:r>
      <w:r w:rsidR="003D16C2" w:rsidRPr="00277DC8">
        <w:fldChar w:fldCharType="begin"/>
      </w:r>
      <w:r w:rsidR="003D16C2" w:rsidRPr="007B209F">
        <w:instrText xml:space="preserve"> REF _Ref288831535 \h  \* MERGEFORMAT </w:instrText>
      </w:r>
      <w:r w:rsidR="003D16C2" w:rsidRPr="00277DC8">
        <w:fldChar w:fldCharType="separate"/>
      </w:r>
    </w:p>
    <w:p w:rsidR="00AD151D" w:rsidRPr="00AD151D" w:rsidRDefault="00B3535E" w:rsidP="00AD151D">
      <w:pPr>
        <w:pStyle w:val="Caption"/>
        <w:widowControl w:val="0"/>
        <w:spacing w:before="120"/>
        <w:ind w:firstLine="720"/>
        <w:rPr>
          <w:b w:val="0"/>
          <w:sz w:val="24"/>
          <w:szCs w:val="24"/>
        </w:rPr>
      </w:pPr>
      <w:r w:rsidRPr="00B3535E">
        <w:rPr>
          <w:b w:val="0"/>
          <w:sz w:val="24"/>
          <w:szCs w:val="24"/>
        </w:rPr>
        <w:t>Figure</w:t>
      </w:r>
      <w:r w:rsidRPr="00B3535E">
        <w:rPr>
          <w:b w:val="0"/>
          <w:noProof/>
          <w:sz w:val="24"/>
          <w:szCs w:val="24"/>
        </w:rPr>
        <w:t xml:space="preserve"> 10</w:t>
      </w:r>
      <w:r w:rsidR="003D16C2" w:rsidRPr="00277DC8">
        <w:rPr>
          <w:b w:val="0"/>
        </w:rPr>
        <w:fldChar w:fldCharType="end"/>
      </w:r>
      <w:r w:rsidR="003D16C2" w:rsidRPr="008F038D">
        <w:rPr>
          <w:b w:val="0"/>
          <w:sz w:val="24"/>
          <w:szCs w:val="24"/>
        </w:rPr>
        <w:t xml:space="preserve"> shows</w:t>
      </w:r>
      <w:r w:rsidR="003D16C2" w:rsidRPr="00AD151D">
        <w:rPr>
          <w:b w:val="0"/>
          <w:sz w:val="24"/>
          <w:szCs w:val="24"/>
        </w:rPr>
        <w:t xml:space="preserve"> the availability standard for January to December 2011 and the average actual availability of both generators and interties over that same time period.  </w:t>
      </w:r>
      <w:r w:rsidR="002A3FD6">
        <w:rPr>
          <w:b w:val="0"/>
          <w:sz w:val="24"/>
          <w:szCs w:val="24"/>
        </w:rPr>
        <w:t xml:space="preserve">For </w:t>
      </w:r>
      <w:r w:rsidR="003D16C2" w:rsidRPr="00AD151D">
        <w:rPr>
          <w:b w:val="0"/>
          <w:sz w:val="24"/>
          <w:szCs w:val="24"/>
        </w:rPr>
        <w:t>Interties</w:t>
      </w:r>
      <w:r w:rsidR="002A3FD6">
        <w:rPr>
          <w:b w:val="0"/>
          <w:sz w:val="24"/>
          <w:szCs w:val="24"/>
        </w:rPr>
        <w:t xml:space="preserve"> 9 out of 12 months</w:t>
      </w:r>
      <w:r w:rsidR="003D16C2" w:rsidRPr="00AD151D">
        <w:rPr>
          <w:b w:val="0"/>
          <w:sz w:val="24"/>
          <w:szCs w:val="24"/>
        </w:rPr>
        <w:t xml:space="preserve"> show a lower average actual availability th</w:t>
      </w:r>
      <w:r w:rsidR="002A3FD6">
        <w:rPr>
          <w:b w:val="0"/>
          <w:sz w:val="24"/>
          <w:szCs w:val="24"/>
        </w:rPr>
        <w:t>a</w:t>
      </w:r>
      <w:r w:rsidR="003D16C2" w:rsidRPr="00AD151D">
        <w:rPr>
          <w:b w:val="0"/>
          <w:sz w:val="24"/>
          <w:szCs w:val="24"/>
        </w:rPr>
        <w:t xml:space="preserve">n the availability standard whereas generators </w:t>
      </w:r>
      <w:r w:rsidR="002A3FD6">
        <w:rPr>
          <w:b w:val="0"/>
          <w:sz w:val="24"/>
          <w:szCs w:val="24"/>
        </w:rPr>
        <w:t xml:space="preserve">for all 12 months </w:t>
      </w:r>
      <w:r w:rsidR="003D16C2" w:rsidRPr="00AD151D">
        <w:rPr>
          <w:b w:val="0"/>
          <w:sz w:val="24"/>
          <w:szCs w:val="24"/>
        </w:rPr>
        <w:t>average actual availability very close to the monthly availability standard, dipping slightly below the availably standard in only one month.</w:t>
      </w:r>
      <w:r w:rsidR="00AE7D50" w:rsidRPr="00AD151D">
        <w:rPr>
          <w:b w:val="0"/>
          <w:sz w:val="24"/>
          <w:szCs w:val="24"/>
        </w:rPr>
        <w:t xml:space="preserve"> </w:t>
      </w:r>
      <w:bookmarkStart w:id="143" w:name="_Ref288831535"/>
    </w:p>
    <w:p w:rsidR="00AE7D50" w:rsidRPr="00AD151D" w:rsidRDefault="00AE7D50" w:rsidP="00BD5E4A">
      <w:pPr>
        <w:pStyle w:val="Caption"/>
        <w:keepNext/>
        <w:keepLines/>
        <w:spacing w:before="120"/>
        <w:rPr>
          <w:b w:val="0"/>
          <w:sz w:val="24"/>
          <w:szCs w:val="24"/>
        </w:rPr>
      </w:pPr>
      <w:bookmarkStart w:id="144" w:name="_Toc347827099"/>
      <w:r w:rsidRPr="00AD151D">
        <w:rPr>
          <w:sz w:val="24"/>
          <w:szCs w:val="24"/>
        </w:rPr>
        <w:lastRenderedPageBreak/>
        <w:t xml:space="preserve">Figure </w:t>
      </w:r>
      <w:r w:rsidRPr="00AD151D">
        <w:rPr>
          <w:sz w:val="24"/>
          <w:szCs w:val="24"/>
        </w:rPr>
        <w:fldChar w:fldCharType="begin"/>
      </w:r>
      <w:r w:rsidRPr="00AD151D">
        <w:rPr>
          <w:sz w:val="24"/>
          <w:szCs w:val="24"/>
        </w:rPr>
        <w:instrText xml:space="preserve"> SEQ Figure \* ARABIC </w:instrText>
      </w:r>
      <w:r w:rsidRPr="00AD151D">
        <w:rPr>
          <w:sz w:val="24"/>
          <w:szCs w:val="24"/>
        </w:rPr>
        <w:fldChar w:fldCharType="separate"/>
      </w:r>
      <w:r w:rsidR="00B3535E">
        <w:rPr>
          <w:noProof/>
          <w:sz w:val="24"/>
          <w:szCs w:val="24"/>
        </w:rPr>
        <w:t>10</w:t>
      </w:r>
      <w:r w:rsidRPr="00AD151D">
        <w:rPr>
          <w:sz w:val="24"/>
          <w:szCs w:val="24"/>
        </w:rPr>
        <w:fldChar w:fldCharType="end"/>
      </w:r>
      <w:bookmarkEnd w:id="138"/>
      <w:bookmarkEnd w:id="143"/>
      <w:r w:rsidRPr="00AD151D">
        <w:rPr>
          <w:sz w:val="24"/>
          <w:szCs w:val="24"/>
        </w:rPr>
        <w:t xml:space="preserve"> </w:t>
      </w:r>
      <w:r w:rsidR="009C3C19">
        <w:rPr>
          <w:sz w:val="24"/>
          <w:szCs w:val="24"/>
        </w:rPr>
        <w:t xml:space="preserve"> </w:t>
      </w:r>
      <w:r w:rsidRPr="00AD151D">
        <w:rPr>
          <w:sz w:val="24"/>
          <w:szCs w:val="24"/>
        </w:rPr>
        <w:t>Average Actual Availability</w:t>
      </w:r>
      <w:r w:rsidR="003D16C2" w:rsidRPr="00AD151D">
        <w:rPr>
          <w:sz w:val="24"/>
          <w:szCs w:val="24"/>
        </w:rPr>
        <w:t xml:space="preserve"> 2011</w:t>
      </w:r>
      <w:bookmarkEnd w:id="144"/>
      <w:r w:rsidRPr="00AD151D">
        <w:rPr>
          <w:sz w:val="24"/>
          <w:szCs w:val="24"/>
        </w:rPr>
        <w:t xml:space="preserve"> </w:t>
      </w:r>
    </w:p>
    <w:p w:rsidR="00AD151D" w:rsidRPr="00AD151D" w:rsidRDefault="00DA6508" w:rsidP="00BD5E4A">
      <w:pPr>
        <w:keepNext/>
        <w:keepLines/>
        <w:spacing w:before="120"/>
      </w:pPr>
      <w:r>
        <w:rPr>
          <w:noProof/>
        </w:rPr>
        <w:drawing>
          <wp:inline distT="0" distB="0" distL="0" distR="0" wp14:anchorId="10CF3BFD">
            <wp:extent cx="5026891" cy="2906973"/>
            <wp:effectExtent l="0" t="0" r="254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44440" cy="2917121"/>
                    </a:xfrm>
                    <a:prstGeom prst="rect">
                      <a:avLst/>
                    </a:prstGeom>
                    <a:noFill/>
                  </pic:spPr>
                </pic:pic>
              </a:graphicData>
            </a:graphic>
          </wp:inline>
        </w:drawing>
      </w:r>
    </w:p>
    <w:p w:rsidR="003D16C2" w:rsidRPr="00AD151D" w:rsidRDefault="003D16C2" w:rsidP="00BD5E4A">
      <w:pPr>
        <w:keepNext/>
        <w:keepLines/>
        <w:spacing w:before="120"/>
      </w:pPr>
      <w:r w:rsidRPr="00AD151D">
        <w:rPr>
          <w:sz w:val="20"/>
          <w:szCs w:val="20"/>
        </w:rPr>
        <w:t>Source: CAISO 2011 Standard Capacity Product Report -http://www.caiso.com/Documents/2011StandardCapacityProductAnnualReport.pdf</w:t>
      </w:r>
    </w:p>
    <w:p w:rsidR="00AE7D50" w:rsidRPr="00AD151D" w:rsidRDefault="00AE7D50">
      <w:pPr>
        <w:pStyle w:val="Heading1"/>
        <w:numPr>
          <w:ilvl w:val="0"/>
          <w:numId w:val="18"/>
        </w:numPr>
        <w:spacing w:before="120"/>
      </w:pPr>
      <w:bookmarkStart w:id="145" w:name="_Toc347491643"/>
      <w:bookmarkStart w:id="146" w:name="_Toc258573786"/>
      <w:bookmarkStart w:id="147" w:name="_Toc347827068"/>
      <w:bookmarkEnd w:id="145"/>
      <w:bookmarkEnd w:id="134"/>
      <w:bookmarkEnd w:id="135"/>
      <w:bookmarkEnd w:id="136"/>
      <w:r w:rsidRPr="00AD151D">
        <w:t>Changes to the RA Program for 2011</w:t>
      </w:r>
      <w:bookmarkEnd w:id="146"/>
      <w:bookmarkEnd w:id="147"/>
    </w:p>
    <w:p w:rsidR="00AE7D50" w:rsidRPr="00AD151D" w:rsidRDefault="003546BE">
      <w:pPr>
        <w:autoSpaceDE w:val="0"/>
        <w:autoSpaceDN w:val="0"/>
        <w:adjustRightInd w:val="0"/>
        <w:spacing w:before="120"/>
        <w:ind w:firstLine="432"/>
      </w:pPr>
      <w:r>
        <w:t>T</w:t>
      </w:r>
      <w:r w:rsidR="00AE7D50" w:rsidRPr="00AD151D">
        <w:t>he Commission made minor changes to the NQC counting conventions for intermittent resources.  D.10-06-036 adopted a final QC manual as Appendix B.  The main changes between 2010 compliance year and 2011 compliance year were to harmonize hydro with other intermittent resources, and to add data from weekends and holidays into the data set for all intermittent resources (such as cogeneration, wind, solar, and hydro resources</w:t>
      </w:r>
      <w:bookmarkStart w:id="148" w:name="_Toc224022452"/>
      <w:bookmarkEnd w:id="148"/>
      <w:r w:rsidR="00AE7D50" w:rsidRPr="00AD151D">
        <w:t>).  Hydro resources no longer receive NQC based on a 1 in 5 dry hydro year, but instead receive NQC based on a historical average of performance over the previous three years.</w:t>
      </w:r>
    </w:p>
    <w:p w:rsidR="00AE7D50" w:rsidRDefault="00ED67AB">
      <w:pPr>
        <w:autoSpaceDE w:val="0"/>
        <w:autoSpaceDN w:val="0"/>
        <w:adjustRightInd w:val="0"/>
        <w:spacing w:before="120"/>
        <w:ind w:firstLine="432"/>
      </w:pPr>
      <w:r>
        <w:t>D.</w:t>
      </w:r>
      <w:r w:rsidR="00AE7D50" w:rsidRPr="00AD151D">
        <w:t xml:space="preserve">11-10-023 abolished the preliminary year-ahead filing.  Therefore, beginning in 2011, when LSEs made their 2012 year-ahead showing, LSEs were no longer required to make a preliminary system showing in September.  </w:t>
      </w:r>
    </w:p>
    <w:p w:rsidR="00ED67AB" w:rsidRDefault="00ED67AB">
      <w:pPr>
        <w:autoSpaceDE w:val="0"/>
        <w:autoSpaceDN w:val="0"/>
        <w:adjustRightInd w:val="0"/>
        <w:spacing w:before="120"/>
        <w:ind w:firstLine="432"/>
      </w:pPr>
      <w:r>
        <w:t>That decision also modified the penalty structure of the RA program, creating streamlining penalties for LSEs that remedy deficiencies within five business days.  Instead of penalties based on kw-month charges, the decision created a class of Specified Violation applicable to instances where LSEs remedy deficiencies within five business days as  directed by Energy Division</w:t>
      </w:r>
      <w:r w:rsidR="004B59F2">
        <w:t xml:space="preserve">.  This change </w:t>
      </w:r>
      <w:r>
        <w:t>allow</w:t>
      </w:r>
      <w:r w:rsidR="004B59F2">
        <w:t>ed</w:t>
      </w:r>
      <w:r>
        <w:t xml:space="preserve"> the CPUC to issue </w:t>
      </w:r>
      <w:r w:rsidR="004B59F2">
        <w:t xml:space="preserve">less onerous </w:t>
      </w:r>
      <w:r>
        <w:t>citations to LSEs instead of pursuing OIIs.</w:t>
      </w:r>
    </w:p>
    <w:p w:rsidR="00ED67AB" w:rsidRDefault="00ED67AB">
      <w:pPr>
        <w:autoSpaceDE w:val="0"/>
        <w:autoSpaceDN w:val="0"/>
        <w:adjustRightInd w:val="0"/>
        <w:spacing w:before="120"/>
        <w:ind w:firstLine="432"/>
      </w:pPr>
    </w:p>
    <w:p w:rsidR="00ED67AB" w:rsidRPr="00AD151D" w:rsidRDefault="00ED67AB">
      <w:pPr>
        <w:autoSpaceDE w:val="0"/>
        <w:autoSpaceDN w:val="0"/>
        <w:adjustRightInd w:val="0"/>
        <w:spacing w:before="120"/>
        <w:ind w:firstLine="432"/>
        <w:rPr>
          <w:sz w:val="20"/>
          <w:szCs w:val="20"/>
        </w:rPr>
        <w:sectPr w:rsidR="00ED67AB" w:rsidRPr="00AD151D" w:rsidSect="00A54B87">
          <w:headerReference w:type="default" r:id="rId20"/>
          <w:footerReference w:type="even" r:id="rId21"/>
          <w:footerReference w:type="default" r:id="rId22"/>
          <w:pgSz w:w="12240" w:h="15840"/>
          <w:pgMar w:top="1440" w:right="1800" w:bottom="1440" w:left="1800" w:header="720" w:footer="720" w:gutter="0"/>
          <w:pgNumType w:start="0"/>
          <w:cols w:space="720"/>
          <w:titlePg/>
          <w:docGrid w:linePitch="360"/>
        </w:sectPr>
      </w:pPr>
    </w:p>
    <w:p w:rsidR="00AE7D50" w:rsidRPr="00AD151D" w:rsidRDefault="00AE7D50">
      <w:pPr>
        <w:pStyle w:val="Heading1"/>
        <w:numPr>
          <w:ilvl w:val="0"/>
          <w:numId w:val="18"/>
        </w:numPr>
        <w:spacing w:before="120"/>
        <w:rPr>
          <w:sz w:val="28"/>
          <w:szCs w:val="28"/>
        </w:rPr>
      </w:pPr>
      <w:bookmarkStart w:id="149" w:name="_Toc347827069"/>
      <w:r w:rsidRPr="00AD151D">
        <w:rPr>
          <w:sz w:val="28"/>
          <w:szCs w:val="28"/>
        </w:rPr>
        <w:lastRenderedPageBreak/>
        <w:t xml:space="preserve">Appendix 1 - </w:t>
      </w:r>
      <w:r w:rsidRPr="00AD151D">
        <w:rPr>
          <w:bCs w:val="0"/>
          <w:sz w:val="28"/>
          <w:szCs w:val="28"/>
        </w:rPr>
        <w:t>Total CAISO LSE Procurement as Percentage of Total Obligation</w:t>
      </w:r>
      <w:bookmarkEnd w:id="149"/>
    </w:p>
    <w:p w:rsidR="00AE7D50" w:rsidRPr="00AD151D" w:rsidRDefault="00AE7D50">
      <w:pPr>
        <w:pStyle w:val="Caption"/>
        <w:keepNext/>
        <w:keepLines/>
        <w:spacing w:before="120"/>
        <w:rPr>
          <w:bCs w:val="0"/>
          <w:sz w:val="22"/>
        </w:rPr>
      </w:pPr>
      <w:bookmarkStart w:id="150" w:name="_Ref191732434"/>
      <w:bookmarkStart w:id="151" w:name="_Ref225157697"/>
      <w:bookmarkStart w:id="152" w:name="_Toc347827088"/>
      <w:r w:rsidRPr="00AD151D">
        <w:rPr>
          <w:bCs w:val="0"/>
          <w:sz w:val="22"/>
        </w:rPr>
        <w:t xml:space="preserve">Table </w:t>
      </w:r>
      <w:r w:rsidRPr="00AD151D">
        <w:rPr>
          <w:bCs w:val="0"/>
          <w:sz w:val="22"/>
        </w:rPr>
        <w:fldChar w:fldCharType="begin"/>
      </w:r>
      <w:r w:rsidRPr="00AD151D">
        <w:rPr>
          <w:bCs w:val="0"/>
          <w:sz w:val="22"/>
        </w:rPr>
        <w:instrText xml:space="preserve"> SEQ Table \* ARABIC </w:instrText>
      </w:r>
      <w:r w:rsidRPr="00AD151D">
        <w:rPr>
          <w:bCs w:val="0"/>
          <w:sz w:val="22"/>
        </w:rPr>
        <w:fldChar w:fldCharType="separate"/>
      </w:r>
      <w:r w:rsidR="00B3535E">
        <w:rPr>
          <w:bCs w:val="0"/>
          <w:noProof/>
          <w:sz w:val="22"/>
        </w:rPr>
        <w:t>18</w:t>
      </w:r>
      <w:r w:rsidRPr="00AD151D">
        <w:rPr>
          <w:bCs w:val="0"/>
          <w:sz w:val="22"/>
        </w:rPr>
        <w:fldChar w:fldCharType="end"/>
      </w:r>
      <w:bookmarkEnd w:id="150"/>
      <w:bookmarkEnd w:id="151"/>
      <w:r w:rsidRPr="00AD151D">
        <w:rPr>
          <w:bCs w:val="0"/>
          <w:sz w:val="22"/>
        </w:rPr>
        <w:t>. Total CAISO LSE Procurement as Percentage of Total CAISO Obligation</w:t>
      </w:r>
      <w:bookmarkEnd w:id="152"/>
    </w:p>
    <w:tbl>
      <w:tblPr>
        <w:tblW w:w="13320" w:type="dxa"/>
        <w:tblInd w:w="-162" w:type="dxa"/>
        <w:tblLayout w:type="fixed"/>
        <w:tblLook w:val="0000" w:firstRow="0" w:lastRow="0" w:firstColumn="0" w:lastColumn="0" w:noHBand="0" w:noVBand="0"/>
      </w:tblPr>
      <w:tblGrid>
        <w:gridCol w:w="630"/>
        <w:gridCol w:w="1170"/>
        <w:gridCol w:w="900"/>
        <w:gridCol w:w="1170"/>
        <w:gridCol w:w="1260"/>
        <w:gridCol w:w="900"/>
        <w:gridCol w:w="810"/>
        <w:gridCol w:w="1350"/>
        <w:gridCol w:w="990"/>
        <w:gridCol w:w="983"/>
        <w:gridCol w:w="1447"/>
        <w:gridCol w:w="1710"/>
      </w:tblGrid>
      <w:tr w:rsidR="00EC35C4" w:rsidRPr="00AD151D" w:rsidTr="00277DC8">
        <w:trPr>
          <w:trHeight w:val="971"/>
        </w:trPr>
        <w:tc>
          <w:tcPr>
            <w:tcW w:w="630" w:type="dxa"/>
            <w:tcBorders>
              <w:top w:val="single" w:sz="4" w:space="0" w:color="auto"/>
              <w:left w:val="single" w:sz="4" w:space="0" w:color="auto"/>
              <w:bottom w:val="single" w:sz="4" w:space="0" w:color="auto"/>
              <w:right w:val="single" w:sz="4" w:space="0" w:color="auto"/>
            </w:tcBorders>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2011</w:t>
            </w:r>
          </w:p>
        </w:tc>
        <w:tc>
          <w:tcPr>
            <w:tcW w:w="1170" w:type="dxa"/>
            <w:tcBorders>
              <w:top w:val="single" w:sz="4" w:space="0" w:color="auto"/>
              <w:left w:val="nil"/>
              <w:bottom w:val="single" w:sz="4" w:space="0" w:color="auto"/>
              <w:right w:val="single" w:sz="4" w:space="0" w:color="auto"/>
            </w:tcBorders>
            <w:shd w:val="clear" w:color="000000" w:fill="FFFF99"/>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Type of LSE</w:t>
            </w:r>
          </w:p>
        </w:tc>
        <w:tc>
          <w:tcPr>
            <w:tcW w:w="900" w:type="dxa"/>
            <w:tcBorders>
              <w:top w:val="single" w:sz="4" w:space="0" w:color="auto"/>
              <w:left w:val="nil"/>
              <w:bottom w:val="single" w:sz="4" w:space="0" w:color="auto"/>
              <w:right w:val="single" w:sz="4" w:space="0" w:color="auto"/>
            </w:tcBorders>
            <w:shd w:val="clear" w:color="000000" w:fill="FFFF99"/>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Peak Demand Forecast</w:t>
            </w:r>
          </w:p>
        </w:tc>
        <w:tc>
          <w:tcPr>
            <w:tcW w:w="1170" w:type="dxa"/>
            <w:tcBorders>
              <w:top w:val="single" w:sz="4" w:space="0" w:color="auto"/>
              <w:left w:val="nil"/>
              <w:bottom w:val="single" w:sz="4" w:space="0" w:color="auto"/>
              <w:right w:val="single" w:sz="4" w:space="0" w:color="auto"/>
            </w:tcBorders>
            <w:shd w:val="clear" w:color="000000" w:fill="FFFF99"/>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Forward Commitment Obligation</w:t>
            </w:r>
          </w:p>
        </w:tc>
        <w:tc>
          <w:tcPr>
            <w:tcW w:w="1260" w:type="dxa"/>
            <w:tcBorders>
              <w:top w:val="single" w:sz="4" w:space="0" w:color="auto"/>
              <w:left w:val="nil"/>
              <w:bottom w:val="single" w:sz="4" w:space="0" w:color="auto"/>
              <w:right w:val="single" w:sz="4" w:space="0" w:color="auto"/>
            </w:tcBorders>
            <w:shd w:val="clear" w:color="000000" w:fill="FFFF99"/>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I. Physical Resources in ISO Control Area</w:t>
            </w:r>
          </w:p>
        </w:tc>
        <w:tc>
          <w:tcPr>
            <w:tcW w:w="900" w:type="dxa"/>
            <w:tcBorders>
              <w:top w:val="single" w:sz="4" w:space="0" w:color="auto"/>
              <w:left w:val="nil"/>
              <w:bottom w:val="single" w:sz="4" w:space="0" w:color="auto"/>
              <w:right w:val="single" w:sz="4" w:space="0" w:color="auto"/>
            </w:tcBorders>
            <w:shd w:val="clear" w:color="000000" w:fill="FFFF99"/>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II. DWR contracts</w:t>
            </w:r>
          </w:p>
        </w:tc>
        <w:tc>
          <w:tcPr>
            <w:tcW w:w="810" w:type="dxa"/>
            <w:tcBorders>
              <w:top w:val="single" w:sz="4" w:space="0" w:color="auto"/>
              <w:left w:val="nil"/>
              <w:bottom w:val="single" w:sz="4" w:space="0" w:color="auto"/>
              <w:right w:val="single" w:sz="4" w:space="0" w:color="auto"/>
            </w:tcBorders>
            <w:shd w:val="clear" w:color="000000" w:fill="FFFF99"/>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III. Total Imports</w:t>
            </w:r>
          </w:p>
        </w:tc>
        <w:tc>
          <w:tcPr>
            <w:tcW w:w="1350" w:type="dxa"/>
            <w:tcBorders>
              <w:top w:val="single" w:sz="4" w:space="0" w:color="auto"/>
              <w:left w:val="nil"/>
              <w:bottom w:val="single" w:sz="4" w:space="0" w:color="auto"/>
              <w:right w:val="single" w:sz="4" w:space="0" w:color="auto"/>
            </w:tcBorders>
            <w:shd w:val="clear" w:color="000000" w:fill="FFFF99"/>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V. Dispatchable DR and Participating Load</w:t>
            </w:r>
          </w:p>
        </w:tc>
        <w:tc>
          <w:tcPr>
            <w:tcW w:w="990" w:type="dxa"/>
            <w:tcBorders>
              <w:top w:val="single" w:sz="4" w:space="0" w:color="auto"/>
              <w:left w:val="nil"/>
              <w:bottom w:val="single" w:sz="4" w:space="0" w:color="auto"/>
              <w:right w:val="single" w:sz="4" w:space="0" w:color="auto"/>
            </w:tcBorders>
            <w:shd w:val="clear" w:color="000000" w:fill="FFFF99"/>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Liquidated Damages  Contracts</w:t>
            </w:r>
          </w:p>
        </w:tc>
        <w:tc>
          <w:tcPr>
            <w:tcW w:w="983" w:type="dxa"/>
            <w:tcBorders>
              <w:top w:val="single" w:sz="4" w:space="0" w:color="auto"/>
              <w:left w:val="nil"/>
              <w:bottom w:val="single" w:sz="4" w:space="0" w:color="auto"/>
              <w:right w:val="single" w:sz="4" w:space="0" w:color="auto"/>
            </w:tcBorders>
            <w:shd w:val="clear" w:color="000000" w:fill="FFFF99"/>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CAM/RMR/Other</w:t>
            </w:r>
          </w:p>
        </w:tc>
        <w:tc>
          <w:tcPr>
            <w:tcW w:w="1447" w:type="dxa"/>
            <w:tcBorders>
              <w:top w:val="single" w:sz="4" w:space="0" w:color="auto"/>
              <w:left w:val="nil"/>
              <w:bottom w:val="single" w:sz="4" w:space="0" w:color="auto"/>
              <w:right w:val="single" w:sz="4" w:space="0" w:color="auto"/>
            </w:tcBorders>
            <w:shd w:val="clear" w:color="000000" w:fill="FFFF99"/>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 xml:space="preserve">Total RA Capacity </w:t>
            </w:r>
          </w:p>
        </w:tc>
        <w:tc>
          <w:tcPr>
            <w:tcW w:w="1710" w:type="dxa"/>
            <w:tcBorders>
              <w:top w:val="single" w:sz="4" w:space="0" w:color="auto"/>
              <w:left w:val="nil"/>
              <w:bottom w:val="single" w:sz="4" w:space="0" w:color="auto"/>
              <w:right w:val="single" w:sz="4" w:space="0" w:color="auto"/>
            </w:tcBorders>
            <w:shd w:val="clear" w:color="000000" w:fill="FFFF99"/>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RA Capacity as a Percentage of Obligation</w:t>
            </w:r>
          </w:p>
        </w:tc>
      </w:tr>
      <w:tr w:rsidR="00504F18" w:rsidRPr="00AD151D" w:rsidTr="00504F18">
        <w:trPr>
          <w:trHeight w:val="341"/>
        </w:trPr>
        <w:tc>
          <w:tcPr>
            <w:tcW w:w="630" w:type="dxa"/>
            <w:vMerge w:val="restart"/>
            <w:tcBorders>
              <w:top w:val="nil"/>
              <w:left w:val="single" w:sz="4" w:space="0" w:color="auto"/>
              <w:bottom w:val="single" w:sz="4" w:space="0" w:color="auto"/>
              <w:right w:val="single" w:sz="4" w:space="0" w:color="auto"/>
            </w:tcBorders>
            <w:noWrap/>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May-11</w:t>
            </w:r>
          </w:p>
        </w:tc>
        <w:tc>
          <w:tcPr>
            <w:tcW w:w="1170" w:type="dxa"/>
            <w:tcBorders>
              <w:top w:val="nil"/>
              <w:left w:val="nil"/>
              <w:bottom w:val="single" w:sz="4" w:space="0" w:color="auto"/>
              <w:right w:val="single" w:sz="4" w:space="0" w:color="auto"/>
            </w:tcBorders>
            <w:noWrap/>
            <w:vAlign w:val="bottom"/>
          </w:tcPr>
          <w:p w:rsidR="00AE7D50" w:rsidRPr="00AD151D" w:rsidRDefault="00AE7D50">
            <w:pPr>
              <w:jc w:val="center"/>
              <w:rPr>
                <w:rFonts w:ascii="Arial Narrow" w:hAnsi="Arial Narrow"/>
                <w:b/>
                <w:bCs/>
                <w:sz w:val="17"/>
                <w:szCs w:val="17"/>
              </w:rPr>
            </w:pPr>
            <w:r w:rsidRPr="00AD151D">
              <w:rPr>
                <w:rFonts w:ascii="Arial Narrow" w:hAnsi="Arial Narrow"/>
                <w:b/>
                <w:bCs/>
                <w:sz w:val="17"/>
                <w:szCs w:val="17"/>
              </w:rPr>
              <w:t>CPUC LSEs</w:t>
            </w:r>
          </w:p>
        </w:tc>
        <w:tc>
          <w:tcPr>
            <w:tcW w:w="900" w:type="dxa"/>
            <w:tcBorders>
              <w:top w:val="nil"/>
              <w:left w:val="nil"/>
              <w:bottom w:val="single" w:sz="4" w:space="0" w:color="auto"/>
              <w:right w:val="single" w:sz="4" w:space="0" w:color="auto"/>
            </w:tcBorders>
            <w:shd w:val="clear" w:color="000000" w:fill="66FFCC"/>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34</w:t>
            </w:r>
            <w:r w:rsidR="004A2ECB">
              <w:rPr>
                <w:rFonts w:ascii="Arial Narrow" w:hAnsi="Arial Narrow"/>
                <w:sz w:val="18"/>
                <w:szCs w:val="18"/>
              </w:rPr>
              <w:t>,</w:t>
            </w:r>
            <w:r w:rsidRPr="00AD151D">
              <w:rPr>
                <w:rFonts w:ascii="Arial Narrow" w:hAnsi="Arial Narrow"/>
                <w:sz w:val="18"/>
                <w:szCs w:val="18"/>
              </w:rPr>
              <w:t>397</w:t>
            </w:r>
          </w:p>
        </w:tc>
        <w:tc>
          <w:tcPr>
            <w:tcW w:w="1170" w:type="dxa"/>
            <w:tcBorders>
              <w:top w:val="nil"/>
              <w:left w:val="nil"/>
              <w:bottom w:val="single" w:sz="4" w:space="0" w:color="auto"/>
              <w:right w:val="single" w:sz="4" w:space="0" w:color="auto"/>
            </w:tcBorders>
            <w:shd w:val="clear" w:color="000000" w:fill="66FFCC"/>
            <w:noWrap/>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39</w:t>
            </w:r>
            <w:r w:rsidR="004A2ECB">
              <w:rPr>
                <w:rFonts w:ascii="Arial Narrow" w:hAnsi="Arial Narrow"/>
                <w:sz w:val="18"/>
                <w:szCs w:val="18"/>
              </w:rPr>
              <w:t>,</w:t>
            </w:r>
            <w:r w:rsidRPr="00AD151D">
              <w:rPr>
                <w:rFonts w:ascii="Arial Narrow" w:hAnsi="Arial Narrow"/>
                <w:sz w:val="18"/>
                <w:szCs w:val="18"/>
              </w:rPr>
              <w:t>556</w:t>
            </w:r>
          </w:p>
        </w:tc>
        <w:tc>
          <w:tcPr>
            <w:tcW w:w="1260" w:type="dxa"/>
            <w:tcBorders>
              <w:top w:val="nil"/>
              <w:left w:val="nil"/>
              <w:bottom w:val="single" w:sz="4" w:space="0" w:color="auto"/>
              <w:right w:val="single" w:sz="4" w:space="0" w:color="auto"/>
            </w:tcBorders>
            <w:shd w:val="clear" w:color="000000" w:fill="66FFCC"/>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33,804</w:t>
            </w:r>
          </w:p>
        </w:tc>
        <w:tc>
          <w:tcPr>
            <w:tcW w:w="900" w:type="dxa"/>
            <w:tcBorders>
              <w:top w:val="nil"/>
              <w:left w:val="nil"/>
              <w:bottom w:val="single" w:sz="4" w:space="0" w:color="auto"/>
              <w:right w:val="single" w:sz="4" w:space="0" w:color="auto"/>
            </w:tcBorders>
            <w:shd w:val="clear" w:color="000000" w:fill="66FFCC"/>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1,098</w:t>
            </w:r>
          </w:p>
        </w:tc>
        <w:tc>
          <w:tcPr>
            <w:tcW w:w="810" w:type="dxa"/>
            <w:tcBorders>
              <w:top w:val="nil"/>
              <w:left w:val="nil"/>
              <w:bottom w:val="single" w:sz="4" w:space="0" w:color="auto"/>
              <w:right w:val="single" w:sz="4" w:space="0" w:color="auto"/>
            </w:tcBorders>
            <w:shd w:val="clear" w:color="000000" w:fill="66FFCC"/>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2,674</w:t>
            </w:r>
          </w:p>
        </w:tc>
        <w:tc>
          <w:tcPr>
            <w:tcW w:w="1350" w:type="dxa"/>
            <w:tcBorders>
              <w:top w:val="nil"/>
              <w:left w:val="nil"/>
              <w:bottom w:val="single" w:sz="4" w:space="0" w:color="auto"/>
              <w:right w:val="single" w:sz="4" w:space="0" w:color="auto"/>
            </w:tcBorders>
            <w:shd w:val="clear" w:color="000000" w:fill="66FFCC"/>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1</w:t>
            </w:r>
            <w:r w:rsidR="004A2ECB">
              <w:rPr>
                <w:rFonts w:ascii="Arial Narrow" w:hAnsi="Arial Narrow"/>
                <w:sz w:val="18"/>
                <w:szCs w:val="18"/>
              </w:rPr>
              <w:t>,</w:t>
            </w:r>
            <w:r w:rsidRPr="00AD151D">
              <w:rPr>
                <w:rFonts w:ascii="Arial Narrow" w:hAnsi="Arial Narrow"/>
                <w:sz w:val="18"/>
                <w:szCs w:val="18"/>
              </w:rPr>
              <w:t>740</w:t>
            </w:r>
          </w:p>
        </w:tc>
        <w:tc>
          <w:tcPr>
            <w:tcW w:w="990" w:type="dxa"/>
            <w:tcBorders>
              <w:top w:val="nil"/>
              <w:left w:val="nil"/>
              <w:bottom w:val="single" w:sz="4" w:space="0" w:color="auto"/>
              <w:right w:val="single" w:sz="4" w:space="0" w:color="auto"/>
            </w:tcBorders>
            <w:shd w:val="clear" w:color="000000" w:fill="66FFCC"/>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0</w:t>
            </w:r>
          </w:p>
        </w:tc>
        <w:tc>
          <w:tcPr>
            <w:tcW w:w="983" w:type="dxa"/>
            <w:tcBorders>
              <w:top w:val="nil"/>
              <w:left w:val="nil"/>
              <w:bottom w:val="single" w:sz="4" w:space="0" w:color="auto"/>
              <w:right w:val="single" w:sz="4" w:space="0" w:color="auto"/>
            </w:tcBorders>
            <w:shd w:val="clear" w:color="000000" w:fill="66FFCC"/>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1</w:t>
            </w:r>
            <w:r w:rsidR="004A2ECB">
              <w:rPr>
                <w:rFonts w:ascii="Arial Narrow" w:hAnsi="Arial Narrow"/>
                <w:sz w:val="18"/>
                <w:szCs w:val="18"/>
              </w:rPr>
              <w:t>,</w:t>
            </w:r>
            <w:r w:rsidRPr="00AD151D">
              <w:rPr>
                <w:rFonts w:ascii="Arial Narrow" w:hAnsi="Arial Narrow"/>
                <w:sz w:val="18"/>
                <w:szCs w:val="18"/>
              </w:rPr>
              <w:t>085</w:t>
            </w:r>
          </w:p>
        </w:tc>
        <w:tc>
          <w:tcPr>
            <w:tcW w:w="1447" w:type="dxa"/>
            <w:tcBorders>
              <w:top w:val="nil"/>
              <w:left w:val="nil"/>
              <w:bottom w:val="single" w:sz="4" w:space="0" w:color="auto"/>
              <w:right w:val="single" w:sz="4" w:space="0" w:color="auto"/>
            </w:tcBorders>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40</w:t>
            </w:r>
            <w:r w:rsidR="004A2ECB">
              <w:rPr>
                <w:rFonts w:ascii="Arial Narrow" w:hAnsi="Arial Narrow"/>
                <w:sz w:val="18"/>
                <w:szCs w:val="18"/>
              </w:rPr>
              <w:t>,</w:t>
            </w:r>
            <w:r w:rsidRPr="00AD151D">
              <w:rPr>
                <w:rFonts w:ascii="Arial Narrow" w:hAnsi="Arial Narrow"/>
                <w:sz w:val="18"/>
                <w:szCs w:val="18"/>
              </w:rPr>
              <w:t>663</w:t>
            </w:r>
          </w:p>
        </w:tc>
        <w:tc>
          <w:tcPr>
            <w:tcW w:w="1710" w:type="dxa"/>
            <w:tcBorders>
              <w:top w:val="nil"/>
              <w:left w:val="nil"/>
              <w:bottom w:val="single" w:sz="4" w:space="0" w:color="auto"/>
              <w:right w:val="single" w:sz="4" w:space="0" w:color="auto"/>
            </w:tcBorders>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103%</w:t>
            </w:r>
          </w:p>
        </w:tc>
      </w:tr>
      <w:tr w:rsidR="00EC35C4" w:rsidRPr="00AD151D" w:rsidTr="00277DC8">
        <w:trPr>
          <w:trHeight w:val="449"/>
        </w:trPr>
        <w:tc>
          <w:tcPr>
            <w:tcW w:w="630" w:type="dxa"/>
            <w:vMerge/>
            <w:tcBorders>
              <w:top w:val="nil"/>
              <w:left w:val="single" w:sz="4" w:space="0" w:color="auto"/>
              <w:bottom w:val="single" w:sz="4" w:space="0" w:color="auto"/>
              <w:right w:val="single" w:sz="4" w:space="0" w:color="auto"/>
            </w:tcBorders>
            <w:vAlign w:val="center"/>
          </w:tcPr>
          <w:p w:rsidR="00AE7D50" w:rsidRPr="00AD151D" w:rsidRDefault="00AE7D50">
            <w:pPr>
              <w:rPr>
                <w:rFonts w:ascii="Arial Narrow" w:hAnsi="Arial Narrow"/>
                <w:b/>
                <w:bCs/>
                <w:sz w:val="18"/>
                <w:szCs w:val="18"/>
              </w:rPr>
            </w:pPr>
          </w:p>
        </w:tc>
        <w:tc>
          <w:tcPr>
            <w:tcW w:w="1170" w:type="dxa"/>
            <w:tcBorders>
              <w:top w:val="nil"/>
              <w:left w:val="nil"/>
              <w:bottom w:val="single" w:sz="4" w:space="0" w:color="auto"/>
              <w:right w:val="single" w:sz="4" w:space="0" w:color="auto"/>
            </w:tcBorders>
            <w:noWrap/>
            <w:vAlign w:val="bottom"/>
          </w:tcPr>
          <w:p w:rsidR="00AE7D50" w:rsidRPr="00AD151D" w:rsidRDefault="00AE7D50">
            <w:pPr>
              <w:jc w:val="center"/>
              <w:rPr>
                <w:rFonts w:ascii="Arial Narrow" w:hAnsi="Arial Narrow"/>
                <w:b/>
                <w:bCs/>
                <w:sz w:val="17"/>
                <w:szCs w:val="17"/>
              </w:rPr>
            </w:pPr>
            <w:r w:rsidRPr="00AD151D">
              <w:rPr>
                <w:rFonts w:ascii="Arial Narrow" w:hAnsi="Arial Narrow"/>
                <w:b/>
                <w:bCs/>
                <w:sz w:val="17"/>
                <w:szCs w:val="17"/>
              </w:rPr>
              <w:t>Non-CPUC LSEs</w:t>
            </w:r>
          </w:p>
        </w:tc>
        <w:tc>
          <w:tcPr>
            <w:tcW w:w="900" w:type="dxa"/>
            <w:tcBorders>
              <w:top w:val="nil"/>
              <w:left w:val="nil"/>
              <w:bottom w:val="single" w:sz="4" w:space="0" w:color="auto"/>
              <w:right w:val="single" w:sz="4" w:space="0" w:color="auto"/>
            </w:tcBorders>
            <w:shd w:val="clear" w:color="000000" w:fill="66FFCC"/>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3</w:t>
            </w:r>
            <w:r w:rsidR="004A2ECB">
              <w:rPr>
                <w:rFonts w:ascii="Arial Narrow" w:hAnsi="Arial Narrow"/>
                <w:sz w:val="18"/>
                <w:szCs w:val="18"/>
              </w:rPr>
              <w:t>,</w:t>
            </w:r>
            <w:r w:rsidRPr="00AD151D">
              <w:rPr>
                <w:rFonts w:ascii="Arial Narrow" w:hAnsi="Arial Narrow"/>
                <w:sz w:val="18"/>
                <w:szCs w:val="18"/>
              </w:rPr>
              <w:t>037</w:t>
            </w:r>
          </w:p>
        </w:tc>
        <w:tc>
          <w:tcPr>
            <w:tcW w:w="1170" w:type="dxa"/>
            <w:tcBorders>
              <w:top w:val="nil"/>
              <w:left w:val="nil"/>
              <w:bottom w:val="single" w:sz="4" w:space="0" w:color="auto"/>
              <w:right w:val="single" w:sz="4" w:space="0" w:color="auto"/>
            </w:tcBorders>
            <w:shd w:val="clear" w:color="000000" w:fill="66FFCC"/>
            <w:noWrap/>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3</w:t>
            </w:r>
            <w:r w:rsidR="004A2ECB">
              <w:rPr>
                <w:rFonts w:ascii="Arial Narrow" w:hAnsi="Arial Narrow"/>
                <w:sz w:val="18"/>
                <w:szCs w:val="18"/>
              </w:rPr>
              <w:t>,</w:t>
            </w:r>
            <w:r w:rsidRPr="00AD151D">
              <w:rPr>
                <w:rFonts w:ascii="Arial Narrow" w:hAnsi="Arial Narrow"/>
                <w:sz w:val="18"/>
                <w:szCs w:val="18"/>
              </w:rPr>
              <w:t>463</w:t>
            </w:r>
          </w:p>
        </w:tc>
        <w:tc>
          <w:tcPr>
            <w:tcW w:w="1260" w:type="dxa"/>
            <w:tcBorders>
              <w:top w:val="nil"/>
              <w:left w:val="nil"/>
              <w:bottom w:val="single" w:sz="4" w:space="0" w:color="auto"/>
              <w:right w:val="single" w:sz="4" w:space="0" w:color="auto"/>
            </w:tcBorders>
            <w:shd w:val="clear" w:color="000000" w:fill="66FFCC"/>
            <w:noWrap/>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1</w:t>
            </w:r>
            <w:r w:rsidR="004A2ECB">
              <w:rPr>
                <w:rFonts w:ascii="Arial Narrow" w:hAnsi="Arial Narrow"/>
                <w:sz w:val="18"/>
                <w:szCs w:val="18"/>
              </w:rPr>
              <w:t>,</w:t>
            </w:r>
            <w:r w:rsidRPr="00AD151D">
              <w:rPr>
                <w:rFonts w:ascii="Arial Narrow" w:hAnsi="Arial Narrow"/>
                <w:sz w:val="18"/>
                <w:szCs w:val="18"/>
              </w:rPr>
              <w:t>758</w:t>
            </w:r>
          </w:p>
        </w:tc>
        <w:tc>
          <w:tcPr>
            <w:tcW w:w="900" w:type="dxa"/>
            <w:tcBorders>
              <w:top w:val="nil"/>
              <w:left w:val="nil"/>
              <w:bottom w:val="single" w:sz="4" w:space="0" w:color="auto"/>
              <w:right w:val="single" w:sz="4" w:space="0" w:color="auto"/>
            </w:tcBorders>
            <w:shd w:val="clear" w:color="000000" w:fill="66FFCC"/>
            <w:noWrap/>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 </w:t>
            </w:r>
          </w:p>
        </w:tc>
        <w:tc>
          <w:tcPr>
            <w:tcW w:w="810" w:type="dxa"/>
            <w:tcBorders>
              <w:top w:val="nil"/>
              <w:left w:val="nil"/>
              <w:bottom w:val="single" w:sz="4" w:space="0" w:color="auto"/>
              <w:right w:val="single" w:sz="4" w:space="0" w:color="auto"/>
            </w:tcBorders>
            <w:shd w:val="clear" w:color="000000" w:fill="66FFCC"/>
            <w:noWrap/>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886</w:t>
            </w:r>
          </w:p>
        </w:tc>
        <w:tc>
          <w:tcPr>
            <w:tcW w:w="1350" w:type="dxa"/>
            <w:tcBorders>
              <w:top w:val="nil"/>
              <w:left w:val="nil"/>
              <w:bottom w:val="single" w:sz="4" w:space="0" w:color="auto"/>
              <w:right w:val="single" w:sz="4" w:space="0" w:color="auto"/>
            </w:tcBorders>
            <w:shd w:val="clear" w:color="000000" w:fill="66FFCC"/>
            <w:noWrap/>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364</w:t>
            </w:r>
          </w:p>
        </w:tc>
        <w:tc>
          <w:tcPr>
            <w:tcW w:w="990" w:type="dxa"/>
            <w:tcBorders>
              <w:top w:val="nil"/>
              <w:left w:val="nil"/>
              <w:bottom w:val="single" w:sz="4" w:space="0" w:color="auto"/>
              <w:right w:val="single" w:sz="4" w:space="0" w:color="auto"/>
            </w:tcBorders>
            <w:shd w:val="clear" w:color="000000" w:fill="66FFCC"/>
            <w:noWrap/>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527</w:t>
            </w:r>
          </w:p>
        </w:tc>
        <w:tc>
          <w:tcPr>
            <w:tcW w:w="983" w:type="dxa"/>
            <w:tcBorders>
              <w:top w:val="nil"/>
              <w:left w:val="nil"/>
              <w:bottom w:val="single" w:sz="4" w:space="0" w:color="auto"/>
              <w:right w:val="single" w:sz="4" w:space="0" w:color="auto"/>
            </w:tcBorders>
            <w:shd w:val="clear" w:color="000000" w:fill="66FFCC"/>
            <w:noWrap/>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0</w:t>
            </w:r>
          </w:p>
        </w:tc>
        <w:tc>
          <w:tcPr>
            <w:tcW w:w="1447" w:type="dxa"/>
            <w:tcBorders>
              <w:top w:val="nil"/>
              <w:left w:val="nil"/>
              <w:bottom w:val="single" w:sz="4" w:space="0" w:color="auto"/>
              <w:right w:val="single" w:sz="4" w:space="0" w:color="auto"/>
            </w:tcBorders>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3</w:t>
            </w:r>
            <w:r w:rsidR="004A2ECB">
              <w:rPr>
                <w:rFonts w:ascii="Arial Narrow" w:hAnsi="Arial Narrow"/>
                <w:sz w:val="18"/>
                <w:szCs w:val="18"/>
              </w:rPr>
              <w:t>,</w:t>
            </w:r>
            <w:r w:rsidRPr="00AD151D">
              <w:rPr>
                <w:rFonts w:ascii="Arial Narrow" w:hAnsi="Arial Narrow"/>
                <w:sz w:val="18"/>
                <w:szCs w:val="18"/>
              </w:rPr>
              <w:t>589</w:t>
            </w:r>
          </w:p>
        </w:tc>
        <w:tc>
          <w:tcPr>
            <w:tcW w:w="1710" w:type="dxa"/>
            <w:tcBorders>
              <w:top w:val="nil"/>
              <w:left w:val="nil"/>
              <w:bottom w:val="single" w:sz="4" w:space="0" w:color="auto"/>
              <w:right w:val="single" w:sz="4" w:space="0" w:color="auto"/>
            </w:tcBorders>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104%</w:t>
            </w:r>
          </w:p>
        </w:tc>
      </w:tr>
      <w:tr w:rsidR="00EC35C4" w:rsidRPr="00AD151D" w:rsidTr="00277DC8">
        <w:trPr>
          <w:trHeight w:val="78"/>
        </w:trPr>
        <w:tc>
          <w:tcPr>
            <w:tcW w:w="630" w:type="dxa"/>
            <w:vMerge/>
            <w:tcBorders>
              <w:top w:val="nil"/>
              <w:left w:val="single" w:sz="4" w:space="0" w:color="auto"/>
              <w:bottom w:val="single" w:sz="4" w:space="0" w:color="auto"/>
              <w:right w:val="single" w:sz="4" w:space="0" w:color="auto"/>
            </w:tcBorders>
            <w:vAlign w:val="center"/>
          </w:tcPr>
          <w:p w:rsidR="00AE7D50" w:rsidRPr="00AD151D" w:rsidRDefault="00AE7D50">
            <w:pPr>
              <w:rPr>
                <w:rFonts w:ascii="Arial Narrow" w:hAnsi="Arial Narrow"/>
                <w:b/>
                <w:bCs/>
                <w:sz w:val="18"/>
                <w:szCs w:val="18"/>
              </w:rPr>
            </w:pPr>
          </w:p>
        </w:tc>
        <w:tc>
          <w:tcPr>
            <w:tcW w:w="1170" w:type="dxa"/>
            <w:tcBorders>
              <w:top w:val="nil"/>
              <w:left w:val="nil"/>
              <w:bottom w:val="single" w:sz="4" w:space="0" w:color="auto"/>
              <w:right w:val="single" w:sz="4" w:space="0" w:color="auto"/>
            </w:tcBorders>
            <w:noWrap/>
            <w:vAlign w:val="bottom"/>
          </w:tcPr>
          <w:p w:rsidR="00AE7D50" w:rsidRPr="00AD151D" w:rsidRDefault="00AE7D50">
            <w:pPr>
              <w:jc w:val="center"/>
              <w:rPr>
                <w:rFonts w:ascii="Arial Narrow" w:hAnsi="Arial Narrow"/>
                <w:b/>
                <w:bCs/>
                <w:sz w:val="17"/>
                <w:szCs w:val="17"/>
              </w:rPr>
            </w:pPr>
            <w:r w:rsidRPr="00AD151D">
              <w:rPr>
                <w:rFonts w:ascii="Arial Narrow" w:hAnsi="Arial Narrow"/>
                <w:b/>
                <w:bCs/>
                <w:sz w:val="17"/>
                <w:szCs w:val="17"/>
              </w:rPr>
              <w:t>Total RA capacity</w:t>
            </w:r>
          </w:p>
        </w:tc>
        <w:tc>
          <w:tcPr>
            <w:tcW w:w="900" w:type="dxa"/>
            <w:tcBorders>
              <w:top w:val="nil"/>
              <w:left w:val="nil"/>
              <w:bottom w:val="single" w:sz="4" w:space="0" w:color="auto"/>
              <w:right w:val="single" w:sz="4" w:space="0" w:color="auto"/>
            </w:tcBorders>
            <w:noWrap/>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37</w:t>
            </w:r>
            <w:r w:rsidR="004A2ECB">
              <w:rPr>
                <w:rFonts w:ascii="Arial Narrow" w:hAnsi="Arial Narrow"/>
                <w:b/>
                <w:bCs/>
                <w:sz w:val="18"/>
                <w:szCs w:val="18"/>
              </w:rPr>
              <w:t>,</w:t>
            </w:r>
            <w:r w:rsidRPr="00AD151D">
              <w:rPr>
                <w:rFonts w:ascii="Arial Narrow" w:hAnsi="Arial Narrow"/>
                <w:b/>
                <w:bCs/>
                <w:sz w:val="18"/>
                <w:szCs w:val="18"/>
              </w:rPr>
              <w:t>434</w:t>
            </w:r>
          </w:p>
        </w:tc>
        <w:tc>
          <w:tcPr>
            <w:tcW w:w="1170" w:type="dxa"/>
            <w:tcBorders>
              <w:top w:val="nil"/>
              <w:left w:val="nil"/>
              <w:bottom w:val="single" w:sz="4" w:space="0" w:color="auto"/>
              <w:right w:val="single" w:sz="4" w:space="0" w:color="auto"/>
            </w:tcBorders>
            <w:noWrap/>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43</w:t>
            </w:r>
            <w:r w:rsidR="004A2ECB">
              <w:rPr>
                <w:rFonts w:ascii="Arial Narrow" w:hAnsi="Arial Narrow"/>
                <w:b/>
                <w:bCs/>
                <w:sz w:val="18"/>
                <w:szCs w:val="18"/>
              </w:rPr>
              <w:t>,</w:t>
            </w:r>
            <w:r w:rsidRPr="00AD151D">
              <w:rPr>
                <w:rFonts w:ascii="Arial Narrow" w:hAnsi="Arial Narrow"/>
                <w:b/>
                <w:bCs/>
                <w:sz w:val="18"/>
                <w:szCs w:val="18"/>
              </w:rPr>
              <w:t>019</w:t>
            </w:r>
          </w:p>
        </w:tc>
        <w:tc>
          <w:tcPr>
            <w:tcW w:w="1260" w:type="dxa"/>
            <w:tcBorders>
              <w:top w:val="nil"/>
              <w:left w:val="nil"/>
              <w:bottom w:val="single" w:sz="4" w:space="0" w:color="auto"/>
              <w:right w:val="single" w:sz="4" w:space="0" w:color="auto"/>
            </w:tcBorders>
            <w:noWrap/>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35</w:t>
            </w:r>
            <w:r w:rsidR="004A2ECB">
              <w:rPr>
                <w:rFonts w:ascii="Arial Narrow" w:hAnsi="Arial Narrow"/>
                <w:b/>
                <w:bCs/>
                <w:sz w:val="18"/>
                <w:szCs w:val="18"/>
              </w:rPr>
              <w:t>,</w:t>
            </w:r>
            <w:r w:rsidRPr="00AD151D">
              <w:rPr>
                <w:rFonts w:ascii="Arial Narrow" w:hAnsi="Arial Narrow"/>
                <w:b/>
                <w:bCs/>
                <w:sz w:val="18"/>
                <w:szCs w:val="18"/>
              </w:rPr>
              <w:t>562</w:t>
            </w:r>
          </w:p>
        </w:tc>
        <w:tc>
          <w:tcPr>
            <w:tcW w:w="900" w:type="dxa"/>
            <w:tcBorders>
              <w:top w:val="nil"/>
              <w:left w:val="nil"/>
              <w:bottom w:val="single" w:sz="4" w:space="0" w:color="auto"/>
              <w:right w:val="single" w:sz="4" w:space="0" w:color="auto"/>
            </w:tcBorders>
            <w:noWrap/>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1</w:t>
            </w:r>
            <w:r w:rsidR="004A2ECB">
              <w:rPr>
                <w:rFonts w:ascii="Arial Narrow" w:hAnsi="Arial Narrow"/>
                <w:b/>
                <w:bCs/>
                <w:sz w:val="18"/>
                <w:szCs w:val="18"/>
              </w:rPr>
              <w:t>,</w:t>
            </w:r>
            <w:r w:rsidRPr="00AD151D">
              <w:rPr>
                <w:rFonts w:ascii="Arial Narrow" w:hAnsi="Arial Narrow"/>
                <w:b/>
                <w:bCs/>
                <w:sz w:val="18"/>
                <w:szCs w:val="18"/>
              </w:rPr>
              <w:t>098</w:t>
            </w:r>
          </w:p>
        </w:tc>
        <w:tc>
          <w:tcPr>
            <w:tcW w:w="810" w:type="dxa"/>
            <w:tcBorders>
              <w:top w:val="nil"/>
              <w:left w:val="nil"/>
              <w:bottom w:val="single" w:sz="4" w:space="0" w:color="auto"/>
              <w:right w:val="single" w:sz="4" w:space="0" w:color="auto"/>
            </w:tcBorders>
            <w:noWrap/>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3</w:t>
            </w:r>
            <w:r w:rsidR="004A2ECB">
              <w:rPr>
                <w:rFonts w:ascii="Arial Narrow" w:hAnsi="Arial Narrow"/>
                <w:b/>
                <w:bCs/>
                <w:sz w:val="18"/>
                <w:szCs w:val="18"/>
              </w:rPr>
              <w:t>,</w:t>
            </w:r>
            <w:r w:rsidRPr="00AD151D">
              <w:rPr>
                <w:rFonts w:ascii="Arial Narrow" w:hAnsi="Arial Narrow"/>
                <w:b/>
                <w:bCs/>
                <w:sz w:val="18"/>
                <w:szCs w:val="18"/>
              </w:rPr>
              <w:t>560</w:t>
            </w:r>
          </w:p>
        </w:tc>
        <w:tc>
          <w:tcPr>
            <w:tcW w:w="1350" w:type="dxa"/>
            <w:tcBorders>
              <w:top w:val="nil"/>
              <w:left w:val="nil"/>
              <w:bottom w:val="single" w:sz="4" w:space="0" w:color="auto"/>
              <w:right w:val="single" w:sz="4" w:space="0" w:color="auto"/>
            </w:tcBorders>
            <w:noWrap/>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2</w:t>
            </w:r>
            <w:r w:rsidR="004A2ECB">
              <w:rPr>
                <w:rFonts w:ascii="Arial Narrow" w:hAnsi="Arial Narrow"/>
                <w:b/>
                <w:bCs/>
                <w:sz w:val="18"/>
                <w:szCs w:val="18"/>
              </w:rPr>
              <w:t>,</w:t>
            </w:r>
            <w:r w:rsidRPr="00AD151D">
              <w:rPr>
                <w:rFonts w:ascii="Arial Narrow" w:hAnsi="Arial Narrow"/>
                <w:b/>
                <w:bCs/>
                <w:sz w:val="18"/>
                <w:szCs w:val="18"/>
              </w:rPr>
              <w:t>104</w:t>
            </w:r>
          </w:p>
        </w:tc>
        <w:tc>
          <w:tcPr>
            <w:tcW w:w="990" w:type="dxa"/>
            <w:tcBorders>
              <w:top w:val="nil"/>
              <w:left w:val="nil"/>
              <w:bottom w:val="single" w:sz="4" w:space="0" w:color="auto"/>
              <w:right w:val="single" w:sz="4" w:space="0" w:color="auto"/>
            </w:tcBorders>
            <w:noWrap/>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527</w:t>
            </w:r>
          </w:p>
        </w:tc>
        <w:tc>
          <w:tcPr>
            <w:tcW w:w="983" w:type="dxa"/>
            <w:tcBorders>
              <w:top w:val="nil"/>
              <w:left w:val="nil"/>
              <w:bottom w:val="single" w:sz="4" w:space="0" w:color="auto"/>
              <w:right w:val="single" w:sz="4" w:space="0" w:color="auto"/>
            </w:tcBorders>
            <w:noWrap/>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1</w:t>
            </w:r>
            <w:r w:rsidR="004A2ECB">
              <w:rPr>
                <w:rFonts w:ascii="Arial Narrow" w:hAnsi="Arial Narrow"/>
                <w:b/>
                <w:bCs/>
                <w:sz w:val="18"/>
                <w:szCs w:val="18"/>
              </w:rPr>
              <w:t>,</w:t>
            </w:r>
            <w:r w:rsidRPr="00AD151D">
              <w:rPr>
                <w:rFonts w:ascii="Arial Narrow" w:hAnsi="Arial Narrow"/>
                <w:b/>
                <w:bCs/>
                <w:sz w:val="18"/>
                <w:szCs w:val="18"/>
              </w:rPr>
              <w:t>085</w:t>
            </w:r>
          </w:p>
        </w:tc>
        <w:tc>
          <w:tcPr>
            <w:tcW w:w="1447" w:type="dxa"/>
            <w:tcBorders>
              <w:top w:val="nil"/>
              <w:left w:val="nil"/>
              <w:bottom w:val="single" w:sz="4" w:space="0" w:color="auto"/>
              <w:right w:val="single" w:sz="4" w:space="0" w:color="auto"/>
            </w:tcBorders>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44</w:t>
            </w:r>
            <w:r w:rsidR="004A2ECB">
              <w:rPr>
                <w:rFonts w:ascii="Arial Narrow" w:hAnsi="Arial Narrow"/>
                <w:sz w:val="18"/>
                <w:szCs w:val="18"/>
              </w:rPr>
              <w:t>,</w:t>
            </w:r>
            <w:r w:rsidRPr="00AD151D">
              <w:rPr>
                <w:rFonts w:ascii="Arial Narrow" w:hAnsi="Arial Narrow"/>
                <w:sz w:val="18"/>
                <w:szCs w:val="18"/>
              </w:rPr>
              <w:t>252</w:t>
            </w:r>
          </w:p>
        </w:tc>
        <w:tc>
          <w:tcPr>
            <w:tcW w:w="1710" w:type="dxa"/>
            <w:tcBorders>
              <w:top w:val="nil"/>
              <w:left w:val="nil"/>
              <w:bottom w:val="single" w:sz="4" w:space="0" w:color="auto"/>
              <w:right w:val="single" w:sz="4" w:space="0" w:color="auto"/>
            </w:tcBorders>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103%</w:t>
            </w:r>
          </w:p>
        </w:tc>
      </w:tr>
      <w:tr w:rsidR="00EC35C4" w:rsidRPr="00AD151D" w:rsidTr="00277DC8">
        <w:trPr>
          <w:trHeight w:val="162"/>
        </w:trPr>
        <w:tc>
          <w:tcPr>
            <w:tcW w:w="630" w:type="dxa"/>
            <w:vMerge/>
            <w:tcBorders>
              <w:top w:val="nil"/>
              <w:left w:val="single" w:sz="4" w:space="0" w:color="auto"/>
              <w:bottom w:val="single" w:sz="4" w:space="0" w:color="auto"/>
              <w:right w:val="single" w:sz="4" w:space="0" w:color="auto"/>
            </w:tcBorders>
            <w:vAlign w:val="center"/>
          </w:tcPr>
          <w:p w:rsidR="00AE7D50" w:rsidRPr="00AD151D" w:rsidRDefault="00AE7D50">
            <w:pPr>
              <w:rPr>
                <w:rFonts w:ascii="Arial Narrow" w:hAnsi="Arial Narrow"/>
                <w:b/>
                <w:bCs/>
                <w:sz w:val="18"/>
                <w:szCs w:val="18"/>
              </w:rPr>
            </w:pPr>
          </w:p>
        </w:tc>
        <w:tc>
          <w:tcPr>
            <w:tcW w:w="1170" w:type="dxa"/>
            <w:tcBorders>
              <w:top w:val="nil"/>
              <w:left w:val="nil"/>
              <w:bottom w:val="single" w:sz="8" w:space="0" w:color="auto"/>
              <w:right w:val="single" w:sz="4" w:space="0" w:color="auto"/>
            </w:tcBorders>
            <w:noWrap/>
          </w:tcPr>
          <w:p w:rsidR="00AE7D50" w:rsidRPr="00AD151D" w:rsidRDefault="00AE7D50">
            <w:pPr>
              <w:jc w:val="center"/>
              <w:rPr>
                <w:rFonts w:ascii="Arial Narrow" w:hAnsi="Arial Narrow"/>
                <w:b/>
                <w:bCs/>
                <w:sz w:val="17"/>
                <w:szCs w:val="17"/>
              </w:rPr>
            </w:pPr>
            <w:r w:rsidRPr="00AD151D">
              <w:rPr>
                <w:rFonts w:ascii="Arial Narrow" w:hAnsi="Arial Narrow"/>
                <w:b/>
                <w:bCs/>
                <w:sz w:val="17"/>
                <w:szCs w:val="17"/>
              </w:rPr>
              <w:t>% of Capacity</w:t>
            </w:r>
          </w:p>
        </w:tc>
        <w:tc>
          <w:tcPr>
            <w:tcW w:w="900" w:type="dxa"/>
            <w:tcBorders>
              <w:top w:val="nil"/>
              <w:left w:val="nil"/>
              <w:bottom w:val="single" w:sz="8" w:space="0" w:color="auto"/>
              <w:right w:val="single" w:sz="4" w:space="0" w:color="auto"/>
            </w:tcBorders>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 </w:t>
            </w:r>
          </w:p>
        </w:tc>
        <w:tc>
          <w:tcPr>
            <w:tcW w:w="1170" w:type="dxa"/>
            <w:tcBorders>
              <w:top w:val="nil"/>
              <w:left w:val="nil"/>
              <w:bottom w:val="single" w:sz="8" w:space="0" w:color="auto"/>
              <w:right w:val="single" w:sz="4" w:space="0" w:color="auto"/>
            </w:tcBorders>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 </w:t>
            </w:r>
          </w:p>
        </w:tc>
        <w:tc>
          <w:tcPr>
            <w:tcW w:w="1260" w:type="dxa"/>
            <w:tcBorders>
              <w:top w:val="nil"/>
              <w:left w:val="nil"/>
              <w:bottom w:val="single" w:sz="8" w:space="0" w:color="auto"/>
              <w:right w:val="single" w:sz="4" w:space="0" w:color="auto"/>
            </w:tcBorders>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80%</w:t>
            </w:r>
          </w:p>
        </w:tc>
        <w:tc>
          <w:tcPr>
            <w:tcW w:w="900" w:type="dxa"/>
            <w:tcBorders>
              <w:top w:val="nil"/>
              <w:left w:val="nil"/>
              <w:bottom w:val="single" w:sz="8" w:space="0" w:color="auto"/>
              <w:right w:val="single" w:sz="4" w:space="0" w:color="auto"/>
            </w:tcBorders>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2%</w:t>
            </w:r>
          </w:p>
        </w:tc>
        <w:tc>
          <w:tcPr>
            <w:tcW w:w="810" w:type="dxa"/>
            <w:tcBorders>
              <w:top w:val="nil"/>
              <w:left w:val="nil"/>
              <w:bottom w:val="single" w:sz="8" w:space="0" w:color="auto"/>
              <w:right w:val="single" w:sz="4" w:space="0" w:color="auto"/>
            </w:tcBorders>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8%</w:t>
            </w:r>
          </w:p>
        </w:tc>
        <w:tc>
          <w:tcPr>
            <w:tcW w:w="1350" w:type="dxa"/>
            <w:tcBorders>
              <w:top w:val="nil"/>
              <w:left w:val="nil"/>
              <w:bottom w:val="single" w:sz="8" w:space="0" w:color="auto"/>
              <w:right w:val="single" w:sz="4" w:space="0" w:color="auto"/>
            </w:tcBorders>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5%</w:t>
            </w:r>
          </w:p>
        </w:tc>
        <w:tc>
          <w:tcPr>
            <w:tcW w:w="990" w:type="dxa"/>
            <w:tcBorders>
              <w:top w:val="nil"/>
              <w:left w:val="nil"/>
              <w:bottom w:val="single" w:sz="8" w:space="0" w:color="auto"/>
              <w:right w:val="single" w:sz="4" w:space="0" w:color="auto"/>
            </w:tcBorders>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1%</w:t>
            </w:r>
          </w:p>
        </w:tc>
        <w:tc>
          <w:tcPr>
            <w:tcW w:w="983" w:type="dxa"/>
            <w:tcBorders>
              <w:top w:val="nil"/>
              <w:left w:val="nil"/>
              <w:bottom w:val="single" w:sz="8" w:space="0" w:color="auto"/>
              <w:right w:val="single" w:sz="4" w:space="0" w:color="auto"/>
            </w:tcBorders>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2%</w:t>
            </w:r>
          </w:p>
        </w:tc>
        <w:tc>
          <w:tcPr>
            <w:tcW w:w="1447" w:type="dxa"/>
            <w:tcBorders>
              <w:top w:val="nil"/>
              <w:left w:val="nil"/>
              <w:bottom w:val="single" w:sz="8" w:space="0" w:color="auto"/>
              <w:right w:val="single" w:sz="4" w:space="0" w:color="auto"/>
            </w:tcBorders>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100%</w:t>
            </w:r>
          </w:p>
        </w:tc>
        <w:tc>
          <w:tcPr>
            <w:tcW w:w="1710" w:type="dxa"/>
            <w:tcBorders>
              <w:top w:val="nil"/>
              <w:left w:val="nil"/>
              <w:bottom w:val="single" w:sz="8" w:space="0" w:color="auto"/>
              <w:right w:val="single" w:sz="4" w:space="0" w:color="auto"/>
            </w:tcBorders>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 </w:t>
            </w:r>
          </w:p>
        </w:tc>
      </w:tr>
      <w:tr w:rsidR="00EC35C4" w:rsidRPr="00AD151D" w:rsidTr="00277DC8">
        <w:trPr>
          <w:trHeight w:val="78"/>
        </w:trPr>
        <w:tc>
          <w:tcPr>
            <w:tcW w:w="630" w:type="dxa"/>
            <w:vMerge w:val="restart"/>
            <w:tcBorders>
              <w:top w:val="nil"/>
              <w:left w:val="single" w:sz="4" w:space="0" w:color="auto"/>
              <w:bottom w:val="single" w:sz="4" w:space="0" w:color="000000"/>
              <w:right w:val="single" w:sz="4" w:space="0" w:color="auto"/>
            </w:tcBorders>
            <w:noWrap/>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Jun-11</w:t>
            </w:r>
          </w:p>
        </w:tc>
        <w:tc>
          <w:tcPr>
            <w:tcW w:w="1170" w:type="dxa"/>
            <w:tcBorders>
              <w:top w:val="single" w:sz="4" w:space="0" w:color="auto"/>
              <w:left w:val="nil"/>
              <w:bottom w:val="single" w:sz="4" w:space="0" w:color="auto"/>
              <w:right w:val="single" w:sz="4" w:space="0" w:color="auto"/>
            </w:tcBorders>
            <w:noWrap/>
            <w:vAlign w:val="bottom"/>
          </w:tcPr>
          <w:p w:rsidR="00AE7D50" w:rsidRPr="00AD151D" w:rsidRDefault="00AE7D50">
            <w:pPr>
              <w:jc w:val="center"/>
              <w:rPr>
                <w:rFonts w:ascii="Arial Narrow" w:hAnsi="Arial Narrow"/>
                <w:b/>
                <w:bCs/>
                <w:sz w:val="17"/>
                <w:szCs w:val="17"/>
              </w:rPr>
            </w:pPr>
            <w:r w:rsidRPr="00AD151D">
              <w:rPr>
                <w:rFonts w:ascii="Arial Narrow" w:hAnsi="Arial Narrow"/>
                <w:b/>
                <w:bCs/>
                <w:sz w:val="17"/>
                <w:szCs w:val="17"/>
              </w:rPr>
              <w:t>CPUC LSEs</w:t>
            </w:r>
          </w:p>
        </w:tc>
        <w:tc>
          <w:tcPr>
            <w:tcW w:w="900" w:type="dxa"/>
            <w:tcBorders>
              <w:top w:val="single" w:sz="4" w:space="0" w:color="auto"/>
              <w:left w:val="nil"/>
              <w:bottom w:val="single" w:sz="4" w:space="0" w:color="auto"/>
              <w:right w:val="single" w:sz="4" w:space="0" w:color="auto"/>
            </w:tcBorders>
            <w:shd w:val="clear" w:color="000000" w:fill="66FFCC"/>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39</w:t>
            </w:r>
            <w:r w:rsidR="004A2ECB">
              <w:rPr>
                <w:rFonts w:ascii="Arial Narrow" w:hAnsi="Arial Narrow"/>
                <w:sz w:val="18"/>
                <w:szCs w:val="18"/>
              </w:rPr>
              <w:t>,</w:t>
            </w:r>
            <w:r w:rsidRPr="00AD151D">
              <w:rPr>
                <w:rFonts w:ascii="Arial Narrow" w:hAnsi="Arial Narrow"/>
                <w:sz w:val="18"/>
                <w:szCs w:val="18"/>
              </w:rPr>
              <w:t>100</w:t>
            </w:r>
          </w:p>
        </w:tc>
        <w:tc>
          <w:tcPr>
            <w:tcW w:w="1170" w:type="dxa"/>
            <w:tcBorders>
              <w:top w:val="nil"/>
              <w:left w:val="nil"/>
              <w:bottom w:val="single" w:sz="4" w:space="0" w:color="auto"/>
              <w:right w:val="single" w:sz="4" w:space="0" w:color="auto"/>
            </w:tcBorders>
            <w:shd w:val="clear" w:color="000000" w:fill="66FFCC"/>
            <w:noWrap/>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44</w:t>
            </w:r>
            <w:r w:rsidR="004A2ECB">
              <w:rPr>
                <w:rFonts w:ascii="Arial Narrow" w:hAnsi="Arial Narrow"/>
                <w:sz w:val="18"/>
                <w:szCs w:val="18"/>
              </w:rPr>
              <w:t>,</w:t>
            </w:r>
            <w:r w:rsidRPr="00AD151D">
              <w:rPr>
                <w:rFonts w:ascii="Arial Narrow" w:hAnsi="Arial Narrow"/>
                <w:sz w:val="18"/>
                <w:szCs w:val="18"/>
              </w:rPr>
              <w:t>965</w:t>
            </w:r>
          </w:p>
        </w:tc>
        <w:tc>
          <w:tcPr>
            <w:tcW w:w="1260" w:type="dxa"/>
            <w:tcBorders>
              <w:top w:val="single" w:sz="4" w:space="0" w:color="auto"/>
              <w:left w:val="nil"/>
              <w:bottom w:val="single" w:sz="4" w:space="0" w:color="auto"/>
              <w:right w:val="single" w:sz="4" w:space="0" w:color="auto"/>
            </w:tcBorders>
            <w:shd w:val="clear" w:color="000000" w:fill="66FFCC"/>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38,068</w:t>
            </w:r>
          </w:p>
        </w:tc>
        <w:tc>
          <w:tcPr>
            <w:tcW w:w="900" w:type="dxa"/>
            <w:tcBorders>
              <w:top w:val="single" w:sz="4" w:space="0" w:color="auto"/>
              <w:left w:val="nil"/>
              <w:bottom w:val="single" w:sz="4" w:space="0" w:color="auto"/>
              <w:right w:val="single" w:sz="4" w:space="0" w:color="auto"/>
            </w:tcBorders>
            <w:shd w:val="clear" w:color="000000" w:fill="66FFCC"/>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1,735</w:t>
            </w:r>
          </w:p>
        </w:tc>
        <w:tc>
          <w:tcPr>
            <w:tcW w:w="810" w:type="dxa"/>
            <w:tcBorders>
              <w:top w:val="single" w:sz="4" w:space="0" w:color="auto"/>
              <w:left w:val="nil"/>
              <w:bottom w:val="single" w:sz="4" w:space="0" w:color="auto"/>
              <w:right w:val="single" w:sz="4" w:space="0" w:color="auto"/>
            </w:tcBorders>
            <w:shd w:val="clear" w:color="000000" w:fill="66FFCC"/>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2,830</w:t>
            </w:r>
          </w:p>
        </w:tc>
        <w:tc>
          <w:tcPr>
            <w:tcW w:w="1350" w:type="dxa"/>
            <w:tcBorders>
              <w:top w:val="single" w:sz="4" w:space="0" w:color="auto"/>
              <w:left w:val="nil"/>
              <w:bottom w:val="single" w:sz="4" w:space="0" w:color="auto"/>
              <w:right w:val="single" w:sz="4" w:space="0" w:color="auto"/>
            </w:tcBorders>
            <w:shd w:val="clear" w:color="000000" w:fill="66FFCC"/>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2</w:t>
            </w:r>
            <w:r w:rsidR="004A2ECB">
              <w:rPr>
                <w:rFonts w:ascii="Arial Narrow" w:hAnsi="Arial Narrow"/>
                <w:sz w:val="18"/>
                <w:szCs w:val="18"/>
              </w:rPr>
              <w:t>,</w:t>
            </w:r>
            <w:r w:rsidRPr="00AD151D">
              <w:rPr>
                <w:rFonts w:ascii="Arial Narrow" w:hAnsi="Arial Narrow"/>
                <w:sz w:val="18"/>
                <w:szCs w:val="18"/>
              </w:rPr>
              <w:t>337</w:t>
            </w:r>
          </w:p>
        </w:tc>
        <w:tc>
          <w:tcPr>
            <w:tcW w:w="990" w:type="dxa"/>
            <w:tcBorders>
              <w:top w:val="single" w:sz="4" w:space="0" w:color="auto"/>
              <w:left w:val="nil"/>
              <w:bottom w:val="single" w:sz="4" w:space="0" w:color="auto"/>
              <w:right w:val="single" w:sz="4" w:space="0" w:color="auto"/>
            </w:tcBorders>
            <w:shd w:val="clear" w:color="000000" w:fill="66FFCC"/>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0</w:t>
            </w:r>
          </w:p>
        </w:tc>
        <w:tc>
          <w:tcPr>
            <w:tcW w:w="983" w:type="dxa"/>
            <w:tcBorders>
              <w:top w:val="single" w:sz="4" w:space="0" w:color="auto"/>
              <w:left w:val="nil"/>
              <w:bottom w:val="single" w:sz="4" w:space="0" w:color="auto"/>
              <w:right w:val="single" w:sz="4" w:space="0" w:color="auto"/>
            </w:tcBorders>
            <w:shd w:val="clear" w:color="000000" w:fill="66FFCC"/>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1</w:t>
            </w:r>
            <w:r w:rsidR="004A2ECB">
              <w:rPr>
                <w:rFonts w:ascii="Arial Narrow" w:hAnsi="Arial Narrow"/>
                <w:sz w:val="18"/>
                <w:szCs w:val="18"/>
              </w:rPr>
              <w:t>,</w:t>
            </w:r>
            <w:r w:rsidRPr="00AD151D">
              <w:rPr>
                <w:rFonts w:ascii="Arial Narrow" w:hAnsi="Arial Narrow"/>
                <w:sz w:val="18"/>
                <w:szCs w:val="18"/>
              </w:rPr>
              <w:t>085</w:t>
            </w:r>
          </w:p>
        </w:tc>
        <w:tc>
          <w:tcPr>
            <w:tcW w:w="1447" w:type="dxa"/>
            <w:tcBorders>
              <w:top w:val="single" w:sz="4" w:space="0" w:color="auto"/>
              <w:left w:val="nil"/>
              <w:bottom w:val="single" w:sz="4" w:space="0" w:color="auto"/>
              <w:right w:val="single" w:sz="4" w:space="0" w:color="auto"/>
            </w:tcBorders>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46</w:t>
            </w:r>
            <w:r w:rsidR="004A2ECB">
              <w:rPr>
                <w:rFonts w:ascii="Arial Narrow" w:hAnsi="Arial Narrow"/>
                <w:sz w:val="18"/>
                <w:szCs w:val="18"/>
              </w:rPr>
              <w:t>,</w:t>
            </w:r>
            <w:r w:rsidRPr="00AD151D">
              <w:rPr>
                <w:rFonts w:ascii="Arial Narrow" w:hAnsi="Arial Narrow"/>
                <w:sz w:val="18"/>
                <w:szCs w:val="18"/>
              </w:rPr>
              <w:t>406</w:t>
            </w:r>
          </w:p>
        </w:tc>
        <w:tc>
          <w:tcPr>
            <w:tcW w:w="1710" w:type="dxa"/>
            <w:tcBorders>
              <w:top w:val="single" w:sz="4" w:space="0" w:color="auto"/>
              <w:left w:val="nil"/>
              <w:bottom w:val="single" w:sz="4" w:space="0" w:color="auto"/>
              <w:right w:val="single" w:sz="4" w:space="0" w:color="auto"/>
            </w:tcBorders>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103%</w:t>
            </w:r>
          </w:p>
        </w:tc>
      </w:tr>
      <w:tr w:rsidR="00EC35C4" w:rsidRPr="00AD151D" w:rsidTr="00277DC8">
        <w:trPr>
          <w:trHeight w:val="78"/>
        </w:trPr>
        <w:tc>
          <w:tcPr>
            <w:tcW w:w="630" w:type="dxa"/>
            <w:vMerge/>
            <w:tcBorders>
              <w:top w:val="nil"/>
              <w:left w:val="single" w:sz="4" w:space="0" w:color="auto"/>
              <w:bottom w:val="single" w:sz="4" w:space="0" w:color="000000"/>
              <w:right w:val="single" w:sz="4" w:space="0" w:color="auto"/>
            </w:tcBorders>
            <w:vAlign w:val="center"/>
          </w:tcPr>
          <w:p w:rsidR="00AE7D50" w:rsidRPr="00AD151D" w:rsidRDefault="00AE7D50">
            <w:pPr>
              <w:rPr>
                <w:rFonts w:ascii="Arial Narrow" w:hAnsi="Arial Narrow"/>
                <w:b/>
                <w:bCs/>
                <w:sz w:val="18"/>
                <w:szCs w:val="18"/>
              </w:rPr>
            </w:pPr>
          </w:p>
        </w:tc>
        <w:tc>
          <w:tcPr>
            <w:tcW w:w="1170" w:type="dxa"/>
            <w:tcBorders>
              <w:top w:val="nil"/>
              <w:left w:val="nil"/>
              <w:bottom w:val="single" w:sz="4" w:space="0" w:color="auto"/>
              <w:right w:val="single" w:sz="4" w:space="0" w:color="auto"/>
            </w:tcBorders>
            <w:noWrap/>
            <w:vAlign w:val="bottom"/>
          </w:tcPr>
          <w:p w:rsidR="00AE7D50" w:rsidRPr="00AD151D" w:rsidRDefault="00AE7D50">
            <w:pPr>
              <w:jc w:val="center"/>
              <w:rPr>
                <w:rFonts w:ascii="Arial Narrow" w:hAnsi="Arial Narrow"/>
                <w:b/>
                <w:bCs/>
                <w:sz w:val="17"/>
                <w:szCs w:val="17"/>
              </w:rPr>
            </w:pPr>
            <w:r w:rsidRPr="00AD151D">
              <w:rPr>
                <w:rFonts w:ascii="Arial Narrow" w:hAnsi="Arial Narrow"/>
                <w:b/>
                <w:bCs/>
                <w:sz w:val="17"/>
                <w:szCs w:val="17"/>
              </w:rPr>
              <w:t>Non-CPUC LSEs</w:t>
            </w:r>
          </w:p>
        </w:tc>
        <w:tc>
          <w:tcPr>
            <w:tcW w:w="900" w:type="dxa"/>
            <w:tcBorders>
              <w:top w:val="nil"/>
              <w:left w:val="nil"/>
              <w:bottom w:val="single" w:sz="4" w:space="0" w:color="auto"/>
              <w:right w:val="single" w:sz="4" w:space="0" w:color="auto"/>
            </w:tcBorders>
            <w:shd w:val="clear" w:color="000000" w:fill="66FFCC"/>
            <w:noWrap/>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3</w:t>
            </w:r>
            <w:r w:rsidR="004A2ECB">
              <w:rPr>
                <w:rFonts w:ascii="Arial Narrow" w:hAnsi="Arial Narrow"/>
                <w:sz w:val="18"/>
                <w:szCs w:val="18"/>
              </w:rPr>
              <w:t>,</w:t>
            </w:r>
            <w:r w:rsidRPr="00AD151D">
              <w:rPr>
                <w:rFonts w:ascii="Arial Narrow" w:hAnsi="Arial Narrow"/>
                <w:sz w:val="18"/>
                <w:szCs w:val="18"/>
              </w:rPr>
              <w:t>214</w:t>
            </w:r>
          </w:p>
        </w:tc>
        <w:tc>
          <w:tcPr>
            <w:tcW w:w="1170" w:type="dxa"/>
            <w:tcBorders>
              <w:top w:val="nil"/>
              <w:left w:val="nil"/>
              <w:bottom w:val="single" w:sz="4" w:space="0" w:color="auto"/>
              <w:right w:val="single" w:sz="4" w:space="0" w:color="auto"/>
            </w:tcBorders>
            <w:shd w:val="clear" w:color="000000" w:fill="66FFCC"/>
            <w:noWrap/>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3</w:t>
            </w:r>
            <w:r w:rsidR="004A2ECB">
              <w:rPr>
                <w:rFonts w:ascii="Arial Narrow" w:hAnsi="Arial Narrow"/>
                <w:sz w:val="18"/>
                <w:szCs w:val="18"/>
              </w:rPr>
              <w:t>,</w:t>
            </w:r>
            <w:r w:rsidRPr="00AD151D">
              <w:rPr>
                <w:rFonts w:ascii="Arial Narrow" w:hAnsi="Arial Narrow"/>
                <w:sz w:val="18"/>
                <w:szCs w:val="18"/>
              </w:rPr>
              <w:t>678</w:t>
            </w:r>
          </w:p>
        </w:tc>
        <w:tc>
          <w:tcPr>
            <w:tcW w:w="1260" w:type="dxa"/>
            <w:tcBorders>
              <w:top w:val="nil"/>
              <w:left w:val="nil"/>
              <w:bottom w:val="single" w:sz="4" w:space="0" w:color="auto"/>
              <w:right w:val="single" w:sz="4" w:space="0" w:color="auto"/>
            </w:tcBorders>
            <w:shd w:val="clear" w:color="000000" w:fill="66FFCC"/>
            <w:noWrap/>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2</w:t>
            </w:r>
            <w:r w:rsidR="004A2ECB">
              <w:rPr>
                <w:rFonts w:ascii="Arial Narrow" w:hAnsi="Arial Narrow"/>
                <w:sz w:val="18"/>
                <w:szCs w:val="18"/>
              </w:rPr>
              <w:t>,</w:t>
            </w:r>
            <w:r w:rsidRPr="00AD151D">
              <w:rPr>
                <w:rFonts w:ascii="Arial Narrow" w:hAnsi="Arial Narrow"/>
                <w:sz w:val="18"/>
                <w:szCs w:val="18"/>
              </w:rPr>
              <w:t>200</w:t>
            </w:r>
          </w:p>
        </w:tc>
        <w:tc>
          <w:tcPr>
            <w:tcW w:w="900" w:type="dxa"/>
            <w:tcBorders>
              <w:top w:val="nil"/>
              <w:left w:val="nil"/>
              <w:bottom w:val="single" w:sz="4" w:space="0" w:color="auto"/>
              <w:right w:val="single" w:sz="4" w:space="0" w:color="auto"/>
            </w:tcBorders>
            <w:shd w:val="clear" w:color="000000" w:fill="66FFCC"/>
            <w:noWrap/>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 </w:t>
            </w:r>
          </w:p>
        </w:tc>
        <w:tc>
          <w:tcPr>
            <w:tcW w:w="810" w:type="dxa"/>
            <w:tcBorders>
              <w:top w:val="nil"/>
              <w:left w:val="nil"/>
              <w:bottom w:val="single" w:sz="4" w:space="0" w:color="auto"/>
              <w:right w:val="single" w:sz="4" w:space="0" w:color="auto"/>
            </w:tcBorders>
            <w:shd w:val="clear" w:color="000000" w:fill="66FFCC"/>
            <w:noWrap/>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966</w:t>
            </w:r>
          </w:p>
        </w:tc>
        <w:tc>
          <w:tcPr>
            <w:tcW w:w="1350" w:type="dxa"/>
            <w:tcBorders>
              <w:top w:val="nil"/>
              <w:left w:val="nil"/>
              <w:bottom w:val="single" w:sz="4" w:space="0" w:color="auto"/>
              <w:right w:val="single" w:sz="4" w:space="0" w:color="auto"/>
            </w:tcBorders>
            <w:shd w:val="clear" w:color="000000" w:fill="66FFCC"/>
            <w:noWrap/>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136</w:t>
            </w:r>
          </w:p>
        </w:tc>
        <w:tc>
          <w:tcPr>
            <w:tcW w:w="990" w:type="dxa"/>
            <w:tcBorders>
              <w:top w:val="nil"/>
              <w:left w:val="nil"/>
              <w:bottom w:val="single" w:sz="4" w:space="0" w:color="auto"/>
              <w:right w:val="single" w:sz="4" w:space="0" w:color="auto"/>
            </w:tcBorders>
            <w:shd w:val="clear" w:color="000000" w:fill="66FFCC"/>
            <w:noWrap/>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526</w:t>
            </w:r>
          </w:p>
        </w:tc>
        <w:tc>
          <w:tcPr>
            <w:tcW w:w="983" w:type="dxa"/>
            <w:tcBorders>
              <w:top w:val="nil"/>
              <w:left w:val="nil"/>
              <w:bottom w:val="single" w:sz="4" w:space="0" w:color="auto"/>
              <w:right w:val="single" w:sz="4" w:space="0" w:color="auto"/>
            </w:tcBorders>
            <w:shd w:val="clear" w:color="000000" w:fill="66FFCC"/>
            <w:noWrap/>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0</w:t>
            </w:r>
          </w:p>
        </w:tc>
        <w:tc>
          <w:tcPr>
            <w:tcW w:w="1447" w:type="dxa"/>
            <w:tcBorders>
              <w:top w:val="nil"/>
              <w:left w:val="nil"/>
              <w:bottom w:val="single" w:sz="4" w:space="0" w:color="auto"/>
              <w:right w:val="single" w:sz="4" w:space="0" w:color="auto"/>
            </w:tcBorders>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3</w:t>
            </w:r>
            <w:r w:rsidR="004A2ECB">
              <w:rPr>
                <w:rFonts w:ascii="Arial Narrow" w:hAnsi="Arial Narrow"/>
                <w:sz w:val="18"/>
                <w:szCs w:val="18"/>
              </w:rPr>
              <w:t>,</w:t>
            </w:r>
            <w:r w:rsidRPr="00AD151D">
              <w:rPr>
                <w:rFonts w:ascii="Arial Narrow" w:hAnsi="Arial Narrow"/>
                <w:sz w:val="18"/>
                <w:szCs w:val="18"/>
              </w:rPr>
              <w:t>849</w:t>
            </w:r>
          </w:p>
        </w:tc>
        <w:tc>
          <w:tcPr>
            <w:tcW w:w="1710" w:type="dxa"/>
            <w:tcBorders>
              <w:top w:val="nil"/>
              <w:left w:val="nil"/>
              <w:bottom w:val="single" w:sz="4" w:space="0" w:color="auto"/>
              <w:right w:val="single" w:sz="4" w:space="0" w:color="auto"/>
            </w:tcBorders>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105%</w:t>
            </w:r>
          </w:p>
        </w:tc>
      </w:tr>
      <w:tr w:rsidR="00EC35C4" w:rsidRPr="00AD151D" w:rsidTr="00277DC8">
        <w:trPr>
          <w:trHeight w:val="78"/>
        </w:trPr>
        <w:tc>
          <w:tcPr>
            <w:tcW w:w="630" w:type="dxa"/>
            <w:vMerge/>
            <w:tcBorders>
              <w:top w:val="nil"/>
              <w:left w:val="single" w:sz="4" w:space="0" w:color="auto"/>
              <w:bottom w:val="single" w:sz="4" w:space="0" w:color="000000"/>
              <w:right w:val="single" w:sz="4" w:space="0" w:color="auto"/>
            </w:tcBorders>
            <w:vAlign w:val="center"/>
          </w:tcPr>
          <w:p w:rsidR="00AE7D50" w:rsidRPr="00AD151D" w:rsidRDefault="00AE7D50">
            <w:pPr>
              <w:rPr>
                <w:rFonts w:ascii="Arial Narrow" w:hAnsi="Arial Narrow"/>
                <w:b/>
                <w:bCs/>
                <w:sz w:val="18"/>
                <w:szCs w:val="18"/>
              </w:rPr>
            </w:pPr>
          </w:p>
        </w:tc>
        <w:tc>
          <w:tcPr>
            <w:tcW w:w="1170" w:type="dxa"/>
            <w:tcBorders>
              <w:top w:val="nil"/>
              <w:left w:val="nil"/>
              <w:bottom w:val="single" w:sz="4" w:space="0" w:color="auto"/>
              <w:right w:val="single" w:sz="4" w:space="0" w:color="auto"/>
            </w:tcBorders>
            <w:noWrap/>
            <w:vAlign w:val="bottom"/>
          </w:tcPr>
          <w:p w:rsidR="00AE7D50" w:rsidRPr="00AD151D" w:rsidRDefault="00AE7D50">
            <w:pPr>
              <w:jc w:val="center"/>
              <w:rPr>
                <w:rFonts w:ascii="Arial Narrow" w:hAnsi="Arial Narrow"/>
                <w:b/>
                <w:bCs/>
                <w:sz w:val="17"/>
                <w:szCs w:val="17"/>
              </w:rPr>
            </w:pPr>
            <w:r w:rsidRPr="00AD151D">
              <w:rPr>
                <w:rFonts w:ascii="Arial Narrow" w:hAnsi="Arial Narrow"/>
                <w:b/>
                <w:bCs/>
                <w:sz w:val="17"/>
                <w:szCs w:val="17"/>
              </w:rPr>
              <w:t>Total RA capacity</w:t>
            </w:r>
          </w:p>
        </w:tc>
        <w:tc>
          <w:tcPr>
            <w:tcW w:w="900" w:type="dxa"/>
            <w:tcBorders>
              <w:top w:val="nil"/>
              <w:left w:val="nil"/>
              <w:bottom w:val="single" w:sz="4" w:space="0" w:color="auto"/>
              <w:right w:val="single" w:sz="4" w:space="0" w:color="auto"/>
            </w:tcBorders>
            <w:noWrap/>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42</w:t>
            </w:r>
            <w:r w:rsidR="004A2ECB">
              <w:rPr>
                <w:rFonts w:ascii="Arial Narrow" w:hAnsi="Arial Narrow"/>
                <w:b/>
                <w:bCs/>
                <w:sz w:val="18"/>
                <w:szCs w:val="18"/>
              </w:rPr>
              <w:t>,</w:t>
            </w:r>
            <w:r w:rsidRPr="00AD151D">
              <w:rPr>
                <w:rFonts w:ascii="Arial Narrow" w:hAnsi="Arial Narrow"/>
                <w:b/>
                <w:bCs/>
                <w:sz w:val="18"/>
                <w:szCs w:val="18"/>
              </w:rPr>
              <w:t>314</w:t>
            </w:r>
          </w:p>
        </w:tc>
        <w:tc>
          <w:tcPr>
            <w:tcW w:w="1170" w:type="dxa"/>
            <w:tcBorders>
              <w:top w:val="nil"/>
              <w:left w:val="nil"/>
              <w:bottom w:val="single" w:sz="4" w:space="0" w:color="auto"/>
              <w:right w:val="single" w:sz="4" w:space="0" w:color="auto"/>
            </w:tcBorders>
            <w:noWrap/>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48</w:t>
            </w:r>
            <w:r w:rsidR="004A2ECB">
              <w:rPr>
                <w:rFonts w:ascii="Arial Narrow" w:hAnsi="Arial Narrow"/>
                <w:b/>
                <w:bCs/>
                <w:sz w:val="18"/>
                <w:szCs w:val="18"/>
              </w:rPr>
              <w:t>,</w:t>
            </w:r>
            <w:r w:rsidRPr="00AD151D">
              <w:rPr>
                <w:rFonts w:ascii="Arial Narrow" w:hAnsi="Arial Narrow"/>
                <w:b/>
                <w:bCs/>
                <w:sz w:val="18"/>
                <w:szCs w:val="18"/>
              </w:rPr>
              <w:t>643</w:t>
            </w:r>
          </w:p>
        </w:tc>
        <w:tc>
          <w:tcPr>
            <w:tcW w:w="1260" w:type="dxa"/>
            <w:tcBorders>
              <w:top w:val="nil"/>
              <w:left w:val="nil"/>
              <w:bottom w:val="single" w:sz="4" w:space="0" w:color="auto"/>
              <w:right w:val="single" w:sz="4" w:space="0" w:color="auto"/>
            </w:tcBorders>
            <w:noWrap/>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40</w:t>
            </w:r>
            <w:r w:rsidR="004A2ECB">
              <w:rPr>
                <w:rFonts w:ascii="Arial Narrow" w:hAnsi="Arial Narrow"/>
                <w:b/>
                <w:bCs/>
                <w:sz w:val="18"/>
                <w:szCs w:val="18"/>
              </w:rPr>
              <w:t>,</w:t>
            </w:r>
            <w:r w:rsidRPr="00AD151D">
              <w:rPr>
                <w:rFonts w:ascii="Arial Narrow" w:hAnsi="Arial Narrow"/>
                <w:b/>
                <w:bCs/>
                <w:sz w:val="18"/>
                <w:szCs w:val="18"/>
              </w:rPr>
              <w:t>268</w:t>
            </w:r>
          </w:p>
        </w:tc>
        <w:tc>
          <w:tcPr>
            <w:tcW w:w="900" w:type="dxa"/>
            <w:tcBorders>
              <w:top w:val="nil"/>
              <w:left w:val="nil"/>
              <w:bottom w:val="single" w:sz="4" w:space="0" w:color="auto"/>
              <w:right w:val="single" w:sz="4" w:space="0" w:color="auto"/>
            </w:tcBorders>
            <w:noWrap/>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1</w:t>
            </w:r>
            <w:r w:rsidR="004A2ECB">
              <w:rPr>
                <w:rFonts w:ascii="Arial Narrow" w:hAnsi="Arial Narrow"/>
                <w:b/>
                <w:bCs/>
                <w:sz w:val="18"/>
                <w:szCs w:val="18"/>
              </w:rPr>
              <w:t>,</w:t>
            </w:r>
            <w:r w:rsidRPr="00AD151D">
              <w:rPr>
                <w:rFonts w:ascii="Arial Narrow" w:hAnsi="Arial Narrow"/>
                <w:b/>
                <w:bCs/>
                <w:sz w:val="18"/>
                <w:szCs w:val="18"/>
              </w:rPr>
              <w:t>735</w:t>
            </w:r>
          </w:p>
        </w:tc>
        <w:tc>
          <w:tcPr>
            <w:tcW w:w="810" w:type="dxa"/>
            <w:tcBorders>
              <w:top w:val="nil"/>
              <w:left w:val="nil"/>
              <w:bottom w:val="single" w:sz="4" w:space="0" w:color="auto"/>
              <w:right w:val="single" w:sz="4" w:space="0" w:color="auto"/>
            </w:tcBorders>
            <w:noWrap/>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3</w:t>
            </w:r>
            <w:r w:rsidR="004A2ECB">
              <w:rPr>
                <w:rFonts w:ascii="Arial Narrow" w:hAnsi="Arial Narrow"/>
                <w:b/>
                <w:bCs/>
                <w:sz w:val="18"/>
                <w:szCs w:val="18"/>
              </w:rPr>
              <w:t>,</w:t>
            </w:r>
            <w:r w:rsidRPr="00AD151D">
              <w:rPr>
                <w:rFonts w:ascii="Arial Narrow" w:hAnsi="Arial Narrow"/>
                <w:b/>
                <w:bCs/>
                <w:sz w:val="18"/>
                <w:szCs w:val="18"/>
              </w:rPr>
              <w:t>796</w:t>
            </w:r>
          </w:p>
        </w:tc>
        <w:tc>
          <w:tcPr>
            <w:tcW w:w="1350" w:type="dxa"/>
            <w:tcBorders>
              <w:top w:val="nil"/>
              <w:left w:val="nil"/>
              <w:bottom w:val="single" w:sz="4" w:space="0" w:color="auto"/>
              <w:right w:val="single" w:sz="4" w:space="0" w:color="auto"/>
            </w:tcBorders>
            <w:noWrap/>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2</w:t>
            </w:r>
            <w:r w:rsidR="004A2ECB">
              <w:rPr>
                <w:rFonts w:ascii="Arial Narrow" w:hAnsi="Arial Narrow"/>
                <w:b/>
                <w:bCs/>
                <w:sz w:val="18"/>
                <w:szCs w:val="18"/>
              </w:rPr>
              <w:t>,</w:t>
            </w:r>
            <w:r w:rsidRPr="00AD151D">
              <w:rPr>
                <w:rFonts w:ascii="Arial Narrow" w:hAnsi="Arial Narrow"/>
                <w:b/>
                <w:bCs/>
                <w:sz w:val="18"/>
                <w:szCs w:val="18"/>
              </w:rPr>
              <w:t>473</w:t>
            </w:r>
          </w:p>
        </w:tc>
        <w:tc>
          <w:tcPr>
            <w:tcW w:w="990" w:type="dxa"/>
            <w:tcBorders>
              <w:top w:val="nil"/>
              <w:left w:val="nil"/>
              <w:bottom w:val="single" w:sz="4" w:space="0" w:color="auto"/>
              <w:right w:val="single" w:sz="4" w:space="0" w:color="auto"/>
            </w:tcBorders>
            <w:noWrap/>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526</w:t>
            </w:r>
          </w:p>
        </w:tc>
        <w:tc>
          <w:tcPr>
            <w:tcW w:w="983" w:type="dxa"/>
            <w:tcBorders>
              <w:top w:val="nil"/>
              <w:left w:val="nil"/>
              <w:bottom w:val="single" w:sz="4" w:space="0" w:color="auto"/>
              <w:right w:val="single" w:sz="4" w:space="0" w:color="auto"/>
            </w:tcBorders>
            <w:noWrap/>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1</w:t>
            </w:r>
            <w:r w:rsidR="004A2ECB">
              <w:rPr>
                <w:rFonts w:ascii="Arial Narrow" w:hAnsi="Arial Narrow"/>
                <w:b/>
                <w:bCs/>
                <w:sz w:val="18"/>
                <w:szCs w:val="18"/>
              </w:rPr>
              <w:t>,</w:t>
            </w:r>
            <w:r w:rsidRPr="00AD151D">
              <w:rPr>
                <w:rFonts w:ascii="Arial Narrow" w:hAnsi="Arial Narrow"/>
                <w:b/>
                <w:bCs/>
                <w:sz w:val="18"/>
                <w:szCs w:val="18"/>
              </w:rPr>
              <w:t>085</w:t>
            </w:r>
          </w:p>
        </w:tc>
        <w:tc>
          <w:tcPr>
            <w:tcW w:w="1447" w:type="dxa"/>
            <w:tcBorders>
              <w:top w:val="nil"/>
              <w:left w:val="nil"/>
              <w:bottom w:val="single" w:sz="4" w:space="0" w:color="auto"/>
              <w:right w:val="single" w:sz="4" w:space="0" w:color="auto"/>
            </w:tcBorders>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50</w:t>
            </w:r>
            <w:r w:rsidR="004A2ECB">
              <w:rPr>
                <w:rFonts w:ascii="Arial Narrow" w:hAnsi="Arial Narrow"/>
                <w:sz w:val="18"/>
                <w:szCs w:val="18"/>
              </w:rPr>
              <w:t>,</w:t>
            </w:r>
            <w:r w:rsidRPr="00AD151D">
              <w:rPr>
                <w:rFonts w:ascii="Arial Narrow" w:hAnsi="Arial Narrow"/>
                <w:sz w:val="18"/>
                <w:szCs w:val="18"/>
              </w:rPr>
              <w:t>254</w:t>
            </w:r>
          </w:p>
        </w:tc>
        <w:tc>
          <w:tcPr>
            <w:tcW w:w="1710" w:type="dxa"/>
            <w:tcBorders>
              <w:top w:val="nil"/>
              <w:left w:val="nil"/>
              <w:bottom w:val="single" w:sz="4" w:space="0" w:color="auto"/>
              <w:right w:val="single" w:sz="4" w:space="0" w:color="auto"/>
            </w:tcBorders>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103%</w:t>
            </w:r>
          </w:p>
        </w:tc>
      </w:tr>
      <w:tr w:rsidR="00EC35C4" w:rsidRPr="00AD151D" w:rsidTr="00277DC8">
        <w:trPr>
          <w:trHeight w:val="162"/>
        </w:trPr>
        <w:tc>
          <w:tcPr>
            <w:tcW w:w="630" w:type="dxa"/>
            <w:vMerge/>
            <w:tcBorders>
              <w:top w:val="nil"/>
              <w:left w:val="single" w:sz="4" w:space="0" w:color="auto"/>
              <w:bottom w:val="single" w:sz="4" w:space="0" w:color="000000"/>
              <w:right w:val="single" w:sz="4" w:space="0" w:color="auto"/>
            </w:tcBorders>
            <w:vAlign w:val="center"/>
          </w:tcPr>
          <w:p w:rsidR="00AE7D50" w:rsidRPr="00AD151D" w:rsidRDefault="00AE7D50">
            <w:pPr>
              <w:rPr>
                <w:rFonts w:ascii="Arial Narrow" w:hAnsi="Arial Narrow"/>
                <w:b/>
                <w:bCs/>
                <w:sz w:val="18"/>
                <w:szCs w:val="18"/>
              </w:rPr>
            </w:pPr>
          </w:p>
        </w:tc>
        <w:tc>
          <w:tcPr>
            <w:tcW w:w="1170" w:type="dxa"/>
            <w:tcBorders>
              <w:top w:val="nil"/>
              <w:left w:val="nil"/>
              <w:bottom w:val="single" w:sz="8" w:space="0" w:color="auto"/>
              <w:right w:val="single" w:sz="4" w:space="0" w:color="auto"/>
            </w:tcBorders>
            <w:noWrap/>
          </w:tcPr>
          <w:p w:rsidR="00AE7D50" w:rsidRPr="00AD151D" w:rsidRDefault="00AE7D50">
            <w:pPr>
              <w:jc w:val="center"/>
              <w:rPr>
                <w:rFonts w:ascii="Arial Narrow" w:hAnsi="Arial Narrow"/>
                <w:b/>
                <w:bCs/>
                <w:sz w:val="17"/>
                <w:szCs w:val="17"/>
              </w:rPr>
            </w:pPr>
            <w:r w:rsidRPr="00AD151D">
              <w:rPr>
                <w:rFonts w:ascii="Arial Narrow" w:hAnsi="Arial Narrow"/>
                <w:b/>
                <w:bCs/>
                <w:sz w:val="17"/>
                <w:szCs w:val="17"/>
              </w:rPr>
              <w:t>% of Capacity</w:t>
            </w:r>
          </w:p>
        </w:tc>
        <w:tc>
          <w:tcPr>
            <w:tcW w:w="900" w:type="dxa"/>
            <w:tcBorders>
              <w:top w:val="nil"/>
              <w:left w:val="nil"/>
              <w:bottom w:val="single" w:sz="8" w:space="0" w:color="auto"/>
              <w:right w:val="single" w:sz="4" w:space="0" w:color="auto"/>
            </w:tcBorders>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 </w:t>
            </w:r>
          </w:p>
        </w:tc>
        <w:tc>
          <w:tcPr>
            <w:tcW w:w="1170" w:type="dxa"/>
            <w:tcBorders>
              <w:top w:val="nil"/>
              <w:left w:val="nil"/>
              <w:bottom w:val="single" w:sz="8" w:space="0" w:color="auto"/>
              <w:right w:val="single" w:sz="4" w:space="0" w:color="auto"/>
            </w:tcBorders>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 </w:t>
            </w:r>
          </w:p>
        </w:tc>
        <w:tc>
          <w:tcPr>
            <w:tcW w:w="1260" w:type="dxa"/>
            <w:tcBorders>
              <w:top w:val="nil"/>
              <w:left w:val="nil"/>
              <w:bottom w:val="single" w:sz="8" w:space="0" w:color="auto"/>
              <w:right w:val="single" w:sz="4" w:space="0" w:color="auto"/>
            </w:tcBorders>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80%</w:t>
            </w:r>
          </w:p>
        </w:tc>
        <w:tc>
          <w:tcPr>
            <w:tcW w:w="900" w:type="dxa"/>
            <w:tcBorders>
              <w:top w:val="nil"/>
              <w:left w:val="nil"/>
              <w:bottom w:val="single" w:sz="8" w:space="0" w:color="auto"/>
              <w:right w:val="single" w:sz="4" w:space="0" w:color="auto"/>
            </w:tcBorders>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3%</w:t>
            </w:r>
          </w:p>
        </w:tc>
        <w:tc>
          <w:tcPr>
            <w:tcW w:w="810" w:type="dxa"/>
            <w:tcBorders>
              <w:top w:val="nil"/>
              <w:left w:val="nil"/>
              <w:bottom w:val="single" w:sz="8" w:space="0" w:color="auto"/>
              <w:right w:val="single" w:sz="4" w:space="0" w:color="auto"/>
            </w:tcBorders>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8%</w:t>
            </w:r>
          </w:p>
        </w:tc>
        <w:tc>
          <w:tcPr>
            <w:tcW w:w="1350" w:type="dxa"/>
            <w:tcBorders>
              <w:top w:val="nil"/>
              <w:left w:val="nil"/>
              <w:bottom w:val="single" w:sz="8" w:space="0" w:color="auto"/>
              <w:right w:val="single" w:sz="4" w:space="0" w:color="auto"/>
            </w:tcBorders>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5%</w:t>
            </w:r>
          </w:p>
        </w:tc>
        <w:tc>
          <w:tcPr>
            <w:tcW w:w="990" w:type="dxa"/>
            <w:tcBorders>
              <w:top w:val="nil"/>
              <w:left w:val="nil"/>
              <w:bottom w:val="single" w:sz="8" w:space="0" w:color="auto"/>
              <w:right w:val="single" w:sz="4" w:space="0" w:color="auto"/>
            </w:tcBorders>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1%</w:t>
            </w:r>
          </w:p>
        </w:tc>
        <w:tc>
          <w:tcPr>
            <w:tcW w:w="983" w:type="dxa"/>
            <w:tcBorders>
              <w:top w:val="nil"/>
              <w:left w:val="nil"/>
              <w:bottom w:val="single" w:sz="8" w:space="0" w:color="auto"/>
              <w:right w:val="single" w:sz="4" w:space="0" w:color="auto"/>
            </w:tcBorders>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2%</w:t>
            </w:r>
          </w:p>
        </w:tc>
        <w:tc>
          <w:tcPr>
            <w:tcW w:w="1447" w:type="dxa"/>
            <w:tcBorders>
              <w:top w:val="nil"/>
              <w:left w:val="nil"/>
              <w:bottom w:val="single" w:sz="8" w:space="0" w:color="auto"/>
              <w:right w:val="single" w:sz="4" w:space="0" w:color="auto"/>
            </w:tcBorders>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100%</w:t>
            </w:r>
          </w:p>
        </w:tc>
        <w:tc>
          <w:tcPr>
            <w:tcW w:w="1710" w:type="dxa"/>
            <w:tcBorders>
              <w:top w:val="nil"/>
              <w:left w:val="nil"/>
              <w:bottom w:val="single" w:sz="8" w:space="0" w:color="auto"/>
              <w:right w:val="single" w:sz="4" w:space="0" w:color="auto"/>
            </w:tcBorders>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 </w:t>
            </w:r>
          </w:p>
        </w:tc>
      </w:tr>
      <w:tr w:rsidR="00EC35C4" w:rsidRPr="00AD151D" w:rsidTr="00277DC8">
        <w:trPr>
          <w:trHeight w:val="78"/>
        </w:trPr>
        <w:tc>
          <w:tcPr>
            <w:tcW w:w="630" w:type="dxa"/>
            <w:vMerge w:val="restart"/>
            <w:tcBorders>
              <w:top w:val="nil"/>
              <w:left w:val="single" w:sz="4" w:space="0" w:color="auto"/>
              <w:bottom w:val="single" w:sz="4" w:space="0" w:color="auto"/>
              <w:right w:val="single" w:sz="4" w:space="0" w:color="auto"/>
            </w:tcBorders>
            <w:noWrap/>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Jul-11</w:t>
            </w:r>
          </w:p>
        </w:tc>
        <w:tc>
          <w:tcPr>
            <w:tcW w:w="1170" w:type="dxa"/>
            <w:tcBorders>
              <w:top w:val="nil"/>
              <w:left w:val="nil"/>
              <w:bottom w:val="single" w:sz="4" w:space="0" w:color="auto"/>
              <w:right w:val="single" w:sz="4" w:space="0" w:color="auto"/>
            </w:tcBorders>
            <w:noWrap/>
            <w:vAlign w:val="bottom"/>
          </w:tcPr>
          <w:p w:rsidR="00AE7D50" w:rsidRPr="00AD151D" w:rsidRDefault="00AE7D50">
            <w:pPr>
              <w:jc w:val="center"/>
              <w:rPr>
                <w:rFonts w:ascii="Arial Narrow" w:hAnsi="Arial Narrow"/>
                <w:b/>
                <w:bCs/>
                <w:sz w:val="17"/>
                <w:szCs w:val="17"/>
              </w:rPr>
            </w:pPr>
            <w:r w:rsidRPr="00AD151D">
              <w:rPr>
                <w:rFonts w:ascii="Arial Narrow" w:hAnsi="Arial Narrow"/>
                <w:b/>
                <w:bCs/>
                <w:sz w:val="17"/>
                <w:szCs w:val="17"/>
              </w:rPr>
              <w:t>CPUC LSEs</w:t>
            </w:r>
          </w:p>
        </w:tc>
        <w:tc>
          <w:tcPr>
            <w:tcW w:w="900" w:type="dxa"/>
            <w:tcBorders>
              <w:top w:val="nil"/>
              <w:left w:val="nil"/>
              <w:bottom w:val="single" w:sz="4" w:space="0" w:color="auto"/>
              <w:right w:val="single" w:sz="4" w:space="0" w:color="auto"/>
            </w:tcBorders>
            <w:shd w:val="clear" w:color="000000" w:fill="66FFCC"/>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43</w:t>
            </w:r>
            <w:r w:rsidR="004A2ECB">
              <w:rPr>
                <w:rFonts w:ascii="Arial Narrow" w:hAnsi="Arial Narrow"/>
                <w:sz w:val="18"/>
                <w:szCs w:val="18"/>
              </w:rPr>
              <w:t>,</w:t>
            </w:r>
            <w:r w:rsidRPr="00AD151D">
              <w:rPr>
                <w:rFonts w:ascii="Arial Narrow" w:hAnsi="Arial Narrow"/>
                <w:sz w:val="18"/>
                <w:szCs w:val="18"/>
              </w:rPr>
              <w:t>567</w:t>
            </w:r>
          </w:p>
        </w:tc>
        <w:tc>
          <w:tcPr>
            <w:tcW w:w="1170" w:type="dxa"/>
            <w:tcBorders>
              <w:top w:val="nil"/>
              <w:left w:val="nil"/>
              <w:bottom w:val="single" w:sz="4" w:space="0" w:color="auto"/>
              <w:right w:val="single" w:sz="4" w:space="0" w:color="auto"/>
            </w:tcBorders>
            <w:shd w:val="clear" w:color="000000" w:fill="66FFCC"/>
            <w:noWrap/>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50</w:t>
            </w:r>
            <w:r w:rsidR="004A2ECB">
              <w:rPr>
                <w:rFonts w:ascii="Arial Narrow" w:hAnsi="Arial Narrow"/>
                <w:sz w:val="18"/>
                <w:szCs w:val="18"/>
              </w:rPr>
              <w:t>,</w:t>
            </w:r>
            <w:r w:rsidRPr="00AD151D">
              <w:rPr>
                <w:rFonts w:ascii="Arial Narrow" w:hAnsi="Arial Narrow"/>
                <w:sz w:val="18"/>
                <w:szCs w:val="18"/>
              </w:rPr>
              <w:t>102</w:t>
            </w:r>
          </w:p>
        </w:tc>
        <w:tc>
          <w:tcPr>
            <w:tcW w:w="1260" w:type="dxa"/>
            <w:tcBorders>
              <w:top w:val="nil"/>
              <w:left w:val="nil"/>
              <w:bottom w:val="single" w:sz="4" w:space="0" w:color="auto"/>
              <w:right w:val="single" w:sz="4" w:space="0" w:color="auto"/>
            </w:tcBorders>
            <w:shd w:val="clear" w:color="000000" w:fill="66FFCC"/>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41,049</w:t>
            </w:r>
          </w:p>
        </w:tc>
        <w:tc>
          <w:tcPr>
            <w:tcW w:w="900" w:type="dxa"/>
            <w:tcBorders>
              <w:top w:val="nil"/>
              <w:left w:val="nil"/>
              <w:bottom w:val="single" w:sz="4" w:space="0" w:color="auto"/>
              <w:right w:val="single" w:sz="4" w:space="0" w:color="auto"/>
            </w:tcBorders>
            <w:shd w:val="clear" w:color="000000" w:fill="66FFCC"/>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1,675</w:t>
            </w:r>
          </w:p>
        </w:tc>
        <w:tc>
          <w:tcPr>
            <w:tcW w:w="810" w:type="dxa"/>
            <w:tcBorders>
              <w:top w:val="nil"/>
              <w:left w:val="nil"/>
              <w:bottom w:val="single" w:sz="4" w:space="0" w:color="auto"/>
              <w:right w:val="single" w:sz="4" w:space="0" w:color="auto"/>
            </w:tcBorders>
            <w:shd w:val="clear" w:color="000000" w:fill="66FFCC"/>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3,979</w:t>
            </w:r>
          </w:p>
        </w:tc>
        <w:tc>
          <w:tcPr>
            <w:tcW w:w="1350" w:type="dxa"/>
            <w:tcBorders>
              <w:top w:val="nil"/>
              <w:left w:val="nil"/>
              <w:bottom w:val="single" w:sz="4" w:space="0" w:color="auto"/>
              <w:right w:val="single" w:sz="4" w:space="0" w:color="auto"/>
            </w:tcBorders>
            <w:shd w:val="clear" w:color="000000" w:fill="66FFCC"/>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2</w:t>
            </w:r>
            <w:r w:rsidR="004A2ECB">
              <w:rPr>
                <w:rFonts w:ascii="Arial Narrow" w:hAnsi="Arial Narrow"/>
                <w:sz w:val="18"/>
                <w:szCs w:val="18"/>
              </w:rPr>
              <w:t>,</w:t>
            </w:r>
            <w:r w:rsidRPr="00AD151D">
              <w:rPr>
                <w:rFonts w:ascii="Arial Narrow" w:hAnsi="Arial Narrow"/>
                <w:sz w:val="18"/>
                <w:szCs w:val="18"/>
              </w:rPr>
              <w:t>688</w:t>
            </w:r>
          </w:p>
        </w:tc>
        <w:tc>
          <w:tcPr>
            <w:tcW w:w="990" w:type="dxa"/>
            <w:tcBorders>
              <w:top w:val="nil"/>
              <w:left w:val="nil"/>
              <w:bottom w:val="single" w:sz="4" w:space="0" w:color="auto"/>
              <w:right w:val="single" w:sz="4" w:space="0" w:color="auto"/>
            </w:tcBorders>
            <w:shd w:val="clear" w:color="000000" w:fill="66FFCC"/>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0</w:t>
            </w:r>
          </w:p>
        </w:tc>
        <w:tc>
          <w:tcPr>
            <w:tcW w:w="983" w:type="dxa"/>
            <w:tcBorders>
              <w:top w:val="single" w:sz="4" w:space="0" w:color="auto"/>
              <w:left w:val="nil"/>
              <w:bottom w:val="single" w:sz="4" w:space="0" w:color="auto"/>
              <w:right w:val="single" w:sz="4" w:space="0" w:color="auto"/>
            </w:tcBorders>
            <w:shd w:val="clear" w:color="000000" w:fill="66FFCC"/>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1</w:t>
            </w:r>
            <w:r w:rsidR="004A2ECB">
              <w:rPr>
                <w:rFonts w:ascii="Arial Narrow" w:hAnsi="Arial Narrow"/>
                <w:sz w:val="18"/>
                <w:szCs w:val="18"/>
              </w:rPr>
              <w:t>,</w:t>
            </w:r>
            <w:r w:rsidRPr="00AD151D">
              <w:rPr>
                <w:rFonts w:ascii="Arial Narrow" w:hAnsi="Arial Narrow"/>
                <w:sz w:val="18"/>
                <w:szCs w:val="18"/>
              </w:rPr>
              <w:t>085</w:t>
            </w:r>
          </w:p>
        </w:tc>
        <w:tc>
          <w:tcPr>
            <w:tcW w:w="1447" w:type="dxa"/>
            <w:tcBorders>
              <w:top w:val="single" w:sz="4" w:space="0" w:color="auto"/>
              <w:left w:val="nil"/>
              <w:bottom w:val="single" w:sz="4" w:space="0" w:color="auto"/>
              <w:right w:val="single" w:sz="4" w:space="0" w:color="auto"/>
            </w:tcBorders>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50</w:t>
            </w:r>
            <w:r w:rsidR="004A2ECB">
              <w:rPr>
                <w:rFonts w:ascii="Arial Narrow" w:hAnsi="Arial Narrow"/>
                <w:sz w:val="18"/>
                <w:szCs w:val="18"/>
              </w:rPr>
              <w:t>,</w:t>
            </w:r>
            <w:r w:rsidRPr="00AD151D">
              <w:rPr>
                <w:rFonts w:ascii="Arial Narrow" w:hAnsi="Arial Narrow"/>
                <w:sz w:val="18"/>
                <w:szCs w:val="18"/>
              </w:rPr>
              <w:t>879</w:t>
            </w:r>
          </w:p>
        </w:tc>
        <w:tc>
          <w:tcPr>
            <w:tcW w:w="1710" w:type="dxa"/>
            <w:tcBorders>
              <w:top w:val="nil"/>
              <w:left w:val="nil"/>
              <w:bottom w:val="single" w:sz="4" w:space="0" w:color="auto"/>
              <w:right w:val="single" w:sz="4" w:space="0" w:color="auto"/>
            </w:tcBorders>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102%</w:t>
            </w:r>
          </w:p>
        </w:tc>
      </w:tr>
      <w:tr w:rsidR="00EC35C4" w:rsidRPr="00AD151D" w:rsidTr="00277DC8">
        <w:trPr>
          <w:trHeight w:val="78"/>
        </w:trPr>
        <w:tc>
          <w:tcPr>
            <w:tcW w:w="630" w:type="dxa"/>
            <w:vMerge/>
            <w:tcBorders>
              <w:top w:val="nil"/>
              <w:left w:val="single" w:sz="4" w:space="0" w:color="auto"/>
              <w:bottom w:val="single" w:sz="4" w:space="0" w:color="auto"/>
              <w:right w:val="single" w:sz="4" w:space="0" w:color="auto"/>
            </w:tcBorders>
            <w:vAlign w:val="center"/>
          </w:tcPr>
          <w:p w:rsidR="00AE7D50" w:rsidRPr="00AD151D" w:rsidRDefault="00AE7D50">
            <w:pPr>
              <w:rPr>
                <w:rFonts w:ascii="Arial Narrow" w:hAnsi="Arial Narrow"/>
                <w:b/>
                <w:bCs/>
                <w:sz w:val="18"/>
                <w:szCs w:val="18"/>
              </w:rPr>
            </w:pPr>
          </w:p>
        </w:tc>
        <w:tc>
          <w:tcPr>
            <w:tcW w:w="1170" w:type="dxa"/>
            <w:tcBorders>
              <w:top w:val="nil"/>
              <w:left w:val="nil"/>
              <w:bottom w:val="single" w:sz="4" w:space="0" w:color="auto"/>
              <w:right w:val="single" w:sz="4" w:space="0" w:color="auto"/>
            </w:tcBorders>
            <w:noWrap/>
            <w:vAlign w:val="bottom"/>
          </w:tcPr>
          <w:p w:rsidR="00AE7D50" w:rsidRPr="00AD151D" w:rsidRDefault="00AE7D50">
            <w:pPr>
              <w:jc w:val="center"/>
              <w:rPr>
                <w:rFonts w:ascii="Arial Narrow" w:hAnsi="Arial Narrow"/>
                <w:b/>
                <w:bCs/>
                <w:sz w:val="17"/>
                <w:szCs w:val="17"/>
              </w:rPr>
            </w:pPr>
            <w:r w:rsidRPr="00AD151D">
              <w:rPr>
                <w:rFonts w:ascii="Arial Narrow" w:hAnsi="Arial Narrow"/>
                <w:b/>
                <w:bCs/>
                <w:sz w:val="17"/>
                <w:szCs w:val="17"/>
              </w:rPr>
              <w:t>Non-CPUC LSEs</w:t>
            </w:r>
          </w:p>
        </w:tc>
        <w:tc>
          <w:tcPr>
            <w:tcW w:w="900" w:type="dxa"/>
            <w:tcBorders>
              <w:top w:val="nil"/>
              <w:left w:val="nil"/>
              <w:bottom w:val="single" w:sz="4" w:space="0" w:color="auto"/>
              <w:right w:val="single" w:sz="4" w:space="0" w:color="auto"/>
            </w:tcBorders>
            <w:shd w:val="clear" w:color="000000" w:fill="66FFCC"/>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3</w:t>
            </w:r>
            <w:r w:rsidR="004A2ECB">
              <w:rPr>
                <w:rFonts w:ascii="Arial Narrow" w:hAnsi="Arial Narrow"/>
                <w:sz w:val="18"/>
                <w:szCs w:val="18"/>
              </w:rPr>
              <w:t>,</w:t>
            </w:r>
            <w:r w:rsidRPr="00AD151D">
              <w:rPr>
                <w:rFonts w:ascii="Arial Narrow" w:hAnsi="Arial Narrow"/>
                <w:sz w:val="18"/>
                <w:szCs w:val="18"/>
              </w:rPr>
              <w:t>680</w:t>
            </w:r>
          </w:p>
        </w:tc>
        <w:tc>
          <w:tcPr>
            <w:tcW w:w="1170" w:type="dxa"/>
            <w:tcBorders>
              <w:top w:val="nil"/>
              <w:left w:val="nil"/>
              <w:bottom w:val="single" w:sz="4" w:space="0" w:color="auto"/>
              <w:right w:val="single" w:sz="4" w:space="0" w:color="auto"/>
            </w:tcBorders>
            <w:shd w:val="clear" w:color="000000" w:fill="66FFCC"/>
            <w:noWrap/>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4</w:t>
            </w:r>
            <w:r w:rsidR="004A2ECB">
              <w:rPr>
                <w:rFonts w:ascii="Arial Narrow" w:hAnsi="Arial Narrow"/>
                <w:sz w:val="18"/>
                <w:szCs w:val="18"/>
              </w:rPr>
              <w:t>,</w:t>
            </w:r>
            <w:r w:rsidRPr="00AD151D">
              <w:rPr>
                <w:rFonts w:ascii="Arial Narrow" w:hAnsi="Arial Narrow"/>
                <w:sz w:val="18"/>
                <w:szCs w:val="18"/>
              </w:rPr>
              <w:t>213</w:t>
            </w:r>
          </w:p>
        </w:tc>
        <w:tc>
          <w:tcPr>
            <w:tcW w:w="1260" w:type="dxa"/>
            <w:tcBorders>
              <w:top w:val="nil"/>
              <w:left w:val="nil"/>
              <w:bottom w:val="single" w:sz="4" w:space="0" w:color="auto"/>
              <w:right w:val="single" w:sz="4" w:space="0" w:color="auto"/>
            </w:tcBorders>
            <w:shd w:val="clear" w:color="000000" w:fill="66FFCC"/>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2</w:t>
            </w:r>
            <w:r w:rsidR="004A2ECB">
              <w:rPr>
                <w:rFonts w:ascii="Arial Narrow" w:hAnsi="Arial Narrow"/>
                <w:sz w:val="18"/>
                <w:szCs w:val="18"/>
              </w:rPr>
              <w:t>,</w:t>
            </w:r>
            <w:r w:rsidRPr="00AD151D">
              <w:rPr>
                <w:rFonts w:ascii="Arial Narrow" w:hAnsi="Arial Narrow"/>
                <w:sz w:val="18"/>
                <w:szCs w:val="18"/>
              </w:rPr>
              <w:t>533</w:t>
            </w:r>
          </w:p>
        </w:tc>
        <w:tc>
          <w:tcPr>
            <w:tcW w:w="900" w:type="dxa"/>
            <w:tcBorders>
              <w:top w:val="nil"/>
              <w:left w:val="nil"/>
              <w:bottom w:val="single" w:sz="4" w:space="0" w:color="auto"/>
              <w:right w:val="single" w:sz="4" w:space="0" w:color="auto"/>
            </w:tcBorders>
            <w:shd w:val="clear" w:color="000000" w:fill="66FFCC"/>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 </w:t>
            </w:r>
          </w:p>
        </w:tc>
        <w:tc>
          <w:tcPr>
            <w:tcW w:w="810" w:type="dxa"/>
            <w:tcBorders>
              <w:top w:val="nil"/>
              <w:left w:val="nil"/>
              <w:bottom w:val="single" w:sz="4" w:space="0" w:color="auto"/>
              <w:right w:val="single" w:sz="4" w:space="0" w:color="auto"/>
            </w:tcBorders>
            <w:shd w:val="clear" w:color="000000" w:fill="66FFCC"/>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1</w:t>
            </w:r>
            <w:r w:rsidR="004A2ECB">
              <w:rPr>
                <w:rFonts w:ascii="Arial Narrow" w:hAnsi="Arial Narrow"/>
                <w:sz w:val="18"/>
                <w:szCs w:val="18"/>
              </w:rPr>
              <w:t>,</w:t>
            </w:r>
            <w:r w:rsidRPr="00AD151D">
              <w:rPr>
                <w:rFonts w:ascii="Arial Narrow" w:hAnsi="Arial Narrow"/>
                <w:sz w:val="18"/>
                <w:szCs w:val="18"/>
              </w:rPr>
              <w:t>045</w:t>
            </w:r>
          </w:p>
        </w:tc>
        <w:tc>
          <w:tcPr>
            <w:tcW w:w="1350" w:type="dxa"/>
            <w:tcBorders>
              <w:top w:val="nil"/>
              <w:left w:val="nil"/>
              <w:bottom w:val="single" w:sz="4" w:space="0" w:color="auto"/>
              <w:right w:val="single" w:sz="4" w:space="0" w:color="auto"/>
            </w:tcBorders>
            <w:shd w:val="clear" w:color="000000" w:fill="66FFCC"/>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196</w:t>
            </w:r>
          </w:p>
        </w:tc>
        <w:tc>
          <w:tcPr>
            <w:tcW w:w="990" w:type="dxa"/>
            <w:tcBorders>
              <w:top w:val="nil"/>
              <w:left w:val="nil"/>
              <w:bottom w:val="single" w:sz="4" w:space="0" w:color="auto"/>
              <w:right w:val="single" w:sz="4" w:space="0" w:color="auto"/>
            </w:tcBorders>
            <w:shd w:val="clear" w:color="000000" w:fill="66FFCC"/>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571</w:t>
            </w:r>
          </w:p>
        </w:tc>
        <w:tc>
          <w:tcPr>
            <w:tcW w:w="983" w:type="dxa"/>
            <w:tcBorders>
              <w:top w:val="nil"/>
              <w:left w:val="nil"/>
              <w:bottom w:val="single" w:sz="4" w:space="0" w:color="auto"/>
              <w:right w:val="single" w:sz="4" w:space="0" w:color="auto"/>
            </w:tcBorders>
            <w:shd w:val="clear" w:color="000000" w:fill="66FFCC"/>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0</w:t>
            </w:r>
          </w:p>
        </w:tc>
        <w:tc>
          <w:tcPr>
            <w:tcW w:w="1447" w:type="dxa"/>
            <w:tcBorders>
              <w:top w:val="nil"/>
              <w:left w:val="nil"/>
              <w:bottom w:val="single" w:sz="4" w:space="0" w:color="auto"/>
              <w:right w:val="single" w:sz="4" w:space="0" w:color="auto"/>
            </w:tcBorders>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4</w:t>
            </w:r>
            <w:r w:rsidR="004A2ECB">
              <w:rPr>
                <w:rFonts w:ascii="Arial Narrow" w:hAnsi="Arial Narrow"/>
                <w:sz w:val="18"/>
                <w:szCs w:val="18"/>
              </w:rPr>
              <w:t>,</w:t>
            </w:r>
            <w:r w:rsidRPr="00AD151D">
              <w:rPr>
                <w:rFonts w:ascii="Arial Narrow" w:hAnsi="Arial Narrow"/>
                <w:sz w:val="18"/>
                <w:szCs w:val="18"/>
              </w:rPr>
              <w:t>375</w:t>
            </w:r>
          </w:p>
        </w:tc>
        <w:tc>
          <w:tcPr>
            <w:tcW w:w="1710" w:type="dxa"/>
            <w:tcBorders>
              <w:top w:val="nil"/>
              <w:left w:val="nil"/>
              <w:bottom w:val="single" w:sz="4" w:space="0" w:color="auto"/>
              <w:right w:val="single" w:sz="4" w:space="0" w:color="auto"/>
            </w:tcBorders>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104%</w:t>
            </w:r>
          </w:p>
        </w:tc>
      </w:tr>
      <w:tr w:rsidR="00EC35C4" w:rsidRPr="00AD151D" w:rsidTr="00277DC8">
        <w:trPr>
          <w:trHeight w:val="78"/>
        </w:trPr>
        <w:tc>
          <w:tcPr>
            <w:tcW w:w="630" w:type="dxa"/>
            <w:vMerge/>
            <w:tcBorders>
              <w:top w:val="nil"/>
              <w:left w:val="single" w:sz="4" w:space="0" w:color="auto"/>
              <w:bottom w:val="single" w:sz="4" w:space="0" w:color="auto"/>
              <w:right w:val="single" w:sz="4" w:space="0" w:color="auto"/>
            </w:tcBorders>
            <w:vAlign w:val="center"/>
          </w:tcPr>
          <w:p w:rsidR="00AE7D50" w:rsidRPr="00AD151D" w:rsidRDefault="00AE7D50">
            <w:pPr>
              <w:rPr>
                <w:rFonts w:ascii="Arial Narrow" w:hAnsi="Arial Narrow"/>
                <w:b/>
                <w:bCs/>
                <w:sz w:val="18"/>
                <w:szCs w:val="18"/>
              </w:rPr>
            </w:pPr>
          </w:p>
        </w:tc>
        <w:tc>
          <w:tcPr>
            <w:tcW w:w="1170" w:type="dxa"/>
            <w:tcBorders>
              <w:top w:val="nil"/>
              <w:left w:val="nil"/>
              <w:bottom w:val="single" w:sz="4" w:space="0" w:color="auto"/>
              <w:right w:val="single" w:sz="4" w:space="0" w:color="auto"/>
            </w:tcBorders>
            <w:noWrap/>
            <w:vAlign w:val="bottom"/>
          </w:tcPr>
          <w:p w:rsidR="00AE7D50" w:rsidRPr="00AD151D" w:rsidRDefault="00AE7D50">
            <w:pPr>
              <w:jc w:val="center"/>
              <w:rPr>
                <w:rFonts w:ascii="Arial Narrow" w:hAnsi="Arial Narrow"/>
                <w:b/>
                <w:bCs/>
                <w:sz w:val="17"/>
                <w:szCs w:val="17"/>
              </w:rPr>
            </w:pPr>
            <w:r w:rsidRPr="00AD151D">
              <w:rPr>
                <w:rFonts w:ascii="Arial Narrow" w:hAnsi="Arial Narrow"/>
                <w:b/>
                <w:bCs/>
                <w:sz w:val="17"/>
                <w:szCs w:val="17"/>
              </w:rPr>
              <w:t>Total RA capacity</w:t>
            </w:r>
          </w:p>
        </w:tc>
        <w:tc>
          <w:tcPr>
            <w:tcW w:w="900" w:type="dxa"/>
            <w:tcBorders>
              <w:top w:val="nil"/>
              <w:left w:val="nil"/>
              <w:bottom w:val="single" w:sz="4" w:space="0" w:color="auto"/>
              <w:right w:val="single" w:sz="4" w:space="0" w:color="auto"/>
            </w:tcBorders>
            <w:noWrap/>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47</w:t>
            </w:r>
            <w:r w:rsidR="004A2ECB">
              <w:rPr>
                <w:rFonts w:ascii="Arial Narrow" w:hAnsi="Arial Narrow"/>
                <w:b/>
                <w:bCs/>
                <w:sz w:val="18"/>
                <w:szCs w:val="18"/>
              </w:rPr>
              <w:t>,</w:t>
            </w:r>
            <w:r w:rsidRPr="00AD151D">
              <w:rPr>
                <w:rFonts w:ascii="Arial Narrow" w:hAnsi="Arial Narrow"/>
                <w:b/>
                <w:bCs/>
                <w:sz w:val="18"/>
                <w:szCs w:val="18"/>
              </w:rPr>
              <w:t>247</w:t>
            </w:r>
          </w:p>
        </w:tc>
        <w:tc>
          <w:tcPr>
            <w:tcW w:w="1170" w:type="dxa"/>
            <w:tcBorders>
              <w:top w:val="nil"/>
              <w:left w:val="nil"/>
              <w:bottom w:val="single" w:sz="4" w:space="0" w:color="auto"/>
              <w:right w:val="single" w:sz="4" w:space="0" w:color="auto"/>
            </w:tcBorders>
            <w:noWrap/>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54</w:t>
            </w:r>
            <w:r w:rsidR="004A2ECB">
              <w:rPr>
                <w:rFonts w:ascii="Arial Narrow" w:hAnsi="Arial Narrow"/>
                <w:b/>
                <w:bCs/>
                <w:sz w:val="18"/>
                <w:szCs w:val="18"/>
              </w:rPr>
              <w:t>,</w:t>
            </w:r>
            <w:r w:rsidRPr="00AD151D">
              <w:rPr>
                <w:rFonts w:ascii="Arial Narrow" w:hAnsi="Arial Narrow"/>
                <w:b/>
                <w:bCs/>
                <w:sz w:val="18"/>
                <w:szCs w:val="18"/>
              </w:rPr>
              <w:t>315</w:t>
            </w:r>
          </w:p>
        </w:tc>
        <w:tc>
          <w:tcPr>
            <w:tcW w:w="1260" w:type="dxa"/>
            <w:tcBorders>
              <w:top w:val="nil"/>
              <w:left w:val="nil"/>
              <w:bottom w:val="single" w:sz="4" w:space="0" w:color="auto"/>
              <w:right w:val="single" w:sz="4" w:space="0" w:color="auto"/>
            </w:tcBorders>
            <w:noWrap/>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43</w:t>
            </w:r>
            <w:r w:rsidR="004A2ECB">
              <w:rPr>
                <w:rFonts w:ascii="Arial Narrow" w:hAnsi="Arial Narrow"/>
                <w:b/>
                <w:bCs/>
                <w:sz w:val="18"/>
                <w:szCs w:val="18"/>
              </w:rPr>
              <w:t>,</w:t>
            </w:r>
            <w:r w:rsidRPr="00AD151D">
              <w:rPr>
                <w:rFonts w:ascii="Arial Narrow" w:hAnsi="Arial Narrow"/>
                <w:b/>
                <w:bCs/>
                <w:sz w:val="18"/>
                <w:szCs w:val="18"/>
              </w:rPr>
              <w:t>582</w:t>
            </w:r>
          </w:p>
        </w:tc>
        <w:tc>
          <w:tcPr>
            <w:tcW w:w="900" w:type="dxa"/>
            <w:tcBorders>
              <w:top w:val="nil"/>
              <w:left w:val="nil"/>
              <w:bottom w:val="single" w:sz="4" w:space="0" w:color="auto"/>
              <w:right w:val="single" w:sz="4" w:space="0" w:color="auto"/>
            </w:tcBorders>
            <w:noWrap/>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1</w:t>
            </w:r>
            <w:r w:rsidR="004A2ECB">
              <w:rPr>
                <w:rFonts w:ascii="Arial Narrow" w:hAnsi="Arial Narrow"/>
                <w:b/>
                <w:bCs/>
                <w:sz w:val="18"/>
                <w:szCs w:val="18"/>
              </w:rPr>
              <w:t>,</w:t>
            </w:r>
            <w:r w:rsidRPr="00AD151D">
              <w:rPr>
                <w:rFonts w:ascii="Arial Narrow" w:hAnsi="Arial Narrow"/>
                <w:b/>
                <w:bCs/>
                <w:sz w:val="18"/>
                <w:szCs w:val="18"/>
              </w:rPr>
              <w:t>675</w:t>
            </w:r>
          </w:p>
        </w:tc>
        <w:tc>
          <w:tcPr>
            <w:tcW w:w="810" w:type="dxa"/>
            <w:tcBorders>
              <w:top w:val="nil"/>
              <w:left w:val="nil"/>
              <w:bottom w:val="single" w:sz="4" w:space="0" w:color="auto"/>
              <w:right w:val="single" w:sz="4" w:space="0" w:color="auto"/>
            </w:tcBorders>
            <w:noWrap/>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5</w:t>
            </w:r>
            <w:r w:rsidR="004A2ECB">
              <w:rPr>
                <w:rFonts w:ascii="Arial Narrow" w:hAnsi="Arial Narrow"/>
                <w:b/>
                <w:bCs/>
                <w:sz w:val="18"/>
                <w:szCs w:val="18"/>
              </w:rPr>
              <w:t>,</w:t>
            </w:r>
            <w:r w:rsidRPr="00AD151D">
              <w:rPr>
                <w:rFonts w:ascii="Arial Narrow" w:hAnsi="Arial Narrow"/>
                <w:b/>
                <w:bCs/>
                <w:sz w:val="18"/>
                <w:szCs w:val="18"/>
              </w:rPr>
              <w:t>024</w:t>
            </w:r>
          </w:p>
        </w:tc>
        <w:tc>
          <w:tcPr>
            <w:tcW w:w="1350" w:type="dxa"/>
            <w:tcBorders>
              <w:top w:val="nil"/>
              <w:left w:val="nil"/>
              <w:bottom w:val="single" w:sz="4" w:space="0" w:color="auto"/>
              <w:right w:val="single" w:sz="4" w:space="0" w:color="auto"/>
            </w:tcBorders>
            <w:noWrap/>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2</w:t>
            </w:r>
            <w:r w:rsidR="004A2ECB">
              <w:rPr>
                <w:rFonts w:ascii="Arial Narrow" w:hAnsi="Arial Narrow"/>
                <w:b/>
                <w:bCs/>
                <w:sz w:val="18"/>
                <w:szCs w:val="18"/>
              </w:rPr>
              <w:t>,</w:t>
            </w:r>
            <w:r w:rsidRPr="00AD151D">
              <w:rPr>
                <w:rFonts w:ascii="Arial Narrow" w:hAnsi="Arial Narrow"/>
                <w:b/>
                <w:bCs/>
                <w:sz w:val="18"/>
                <w:szCs w:val="18"/>
              </w:rPr>
              <w:t>884</w:t>
            </w:r>
          </w:p>
        </w:tc>
        <w:tc>
          <w:tcPr>
            <w:tcW w:w="990" w:type="dxa"/>
            <w:tcBorders>
              <w:top w:val="nil"/>
              <w:left w:val="nil"/>
              <w:bottom w:val="single" w:sz="4" w:space="0" w:color="auto"/>
              <w:right w:val="single" w:sz="4" w:space="0" w:color="auto"/>
            </w:tcBorders>
            <w:noWrap/>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571</w:t>
            </w:r>
          </w:p>
        </w:tc>
        <w:tc>
          <w:tcPr>
            <w:tcW w:w="983" w:type="dxa"/>
            <w:tcBorders>
              <w:top w:val="nil"/>
              <w:left w:val="nil"/>
              <w:bottom w:val="single" w:sz="4" w:space="0" w:color="auto"/>
              <w:right w:val="single" w:sz="4" w:space="0" w:color="auto"/>
            </w:tcBorders>
            <w:noWrap/>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1085</w:t>
            </w:r>
          </w:p>
        </w:tc>
        <w:tc>
          <w:tcPr>
            <w:tcW w:w="1447" w:type="dxa"/>
            <w:tcBorders>
              <w:top w:val="nil"/>
              <w:left w:val="nil"/>
              <w:bottom w:val="single" w:sz="4" w:space="0" w:color="auto"/>
              <w:right w:val="single" w:sz="4" w:space="0" w:color="auto"/>
            </w:tcBorders>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55</w:t>
            </w:r>
            <w:r w:rsidR="004A2ECB">
              <w:rPr>
                <w:rFonts w:ascii="Arial Narrow" w:hAnsi="Arial Narrow"/>
                <w:sz w:val="18"/>
                <w:szCs w:val="18"/>
              </w:rPr>
              <w:t>,</w:t>
            </w:r>
            <w:r w:rsidRPr="00AD151D">
              <w:rPr>
                <w:rFonts w:ascii="Arial Narrow" w:hAnsi="Arial Narrow"/>
                <w:sz w:val="18"/>
                <w:szCs w:val="18"/>
              </w:rPr>
              <w:t>254</w:t>
            </w:r>
          </w:p>
        </w:tc>
        <w:tc>
          <w:tcPr>
            <w:tcW w:w="1710" w:type="dxa"/>
            <w:tcBorders>
              <w:top w:val="nil"/>
              <w:left w:val="nil"/>
              <w:bottom w:val="single" w:sz="4" w:space="0" w:color="auto"/>
              <w:right w:val="single" w:sz="4" w:space="0" w:color="auto"/>
            </w:tcBorders>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102%</w:t>
            </w:r>
          </w:p>
        </w:tc>
      </w:tr>
      <w:tr w:rsidR="00EC35C4" w:rsidRPr="00AD151D" w:rsidTr="00277DC8">
        <w:trPr>
          <w:trHeight w:val="81"/>
        </w:trPr>
        <w:tc>
          <w:tcPr>
            <w:tcW w:w="630" w:type="dxa"/>
            <w:vMerge/>
            <w:tcBorders>
              <w:top w:val="nil"/>
              <w:left w:val="single" w:sz="4" w:space="0" w:color="auto"/>
              <w:bottom w:val="single" w:sz="4" w:space="0" w:color="auto"/>
              <w:right w:val="single" w:sz="4" w:space="0" w:color="auto"/>
            </w:tcBorders>
            <w:vAlign w:val="center"/>
          </w:tcPr>
          <w:p w:rsidR="00AE7D50" w:rsidRPr="00AD151D" w:rsidRDefault="00AE7D50">
            <w:pPr>
              <w:rPr>
                <w:rFonts w:ascii="Arial Narrow" w:hAnsi="Arial Narrow"/>
                <w:b/>
                <w:bCs/>
                <w:sz w:val="18"/>
                <w:szCs w:val="18"/>
              </w:rPr>
            </w:pPr>
          </w:p>
        </w:tc>
        <w:tc>
          <w:tcPr>
            <w:tcW w:w="1170" w:type="dxa"/>
            <w:tcBorders>
              <w:top w:val="nil"/>
              <w:left w:val="nil"/>
              <w:bottom w:val="single" w:sz="8" w:space="0" w:color="auto"/>
              <w:right w:val="single" w:sz="4" w:space="0" w:color="auto"/>
            </w:tcBorders>
            <w:noWrap/>
          </w:tcPr>
          <w:p w:rsidR="00AE7D50" w:rsidRPr="00AD151D" w:rsidRDefault="00AE7D50">
            <w:pPr>
              <w:jc w:val="center"/>
              <w:rPr>
                <w:rFonts w:ascii="Arial Narrow" w:hAnsi="Arial Narrow"/>
                <w:b/>
                <w:bCs/>
                <w:sz w:val="17"/>
                <w:szCs w:val="17"/>
              </w:rPr>
            </w:pPr>
            <w:r w:rsidRPr="00AD151D">
              <w:rPr>
                <w:rFonts w:ascii="Arial Narrow" w:hAnsi="Arial Narrow"/>
                <w:b/>
                <w:bCs/>
                <w:sz w:val="17"/>
                <w:szCs w:val="17"/>
              </w:rPr>
              <w:t>% of Capacity</w:t>
            </w:r>
          </w:p>
        </w:tc>
        <w:tc>
          <w:tcPr>
            <w:tcW w:w="900" w:type="dxa"/>
            <w:tcBorders>
              <w:top w:val="nil"/>
              <w:left w:val="nil"/>
              <w:bottom w:val="single" w:sz="8" w:space="0" w:color="auto"/>
              <w:right w:val="single" w:sz="4" w:space="0" w:color="auto"/>
            </w:tcBorders>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 </w:t>
            </w:r>
          </w:p>
        </w:tc>
        <w:tc>
          <w:tcPr>
            <w:tcW w:w="1170" w:type="dxa"/>
            <w:tcBorders>
              <w:top w:val="nil"/>
              <w:left w:val="nil"/>
              <w:bottom w:val="single" w:sz="8" w:space="0" w:color="auto"/>
              <w:right w:val="single" w:sz="4" w:space="0" w:color="auto"/>
            </w:tcBorders>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 </w:t>
            </w:r>
          </w:p>
        </w:tc>
        <w:tc>
          <w:tcPr>
            <w:tcW w:w="1260" w:type="dxa"/>
            <w:tcBorders>
              <w:top w:val="nil"/>
              <w:left w:val="nil"/>
              <w:bottom w:val="single" w:sz="8" w:space="0" w:color="auto"/>
              <w:right w:val="single" w:sz="4" w:space="0" w:color="auto"/>
            </w:tcBorders>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79%</w:t>
            </w:r>
          </w:p>
        </w:tc>
        <w:tc>
          <w:tcPr>
            <w:tcW w:w="900" w:type="dxa"/>
            <w:tcBorders>
              <w:top w:val="nil"/>
              <w:left w:val="nil"/>
              <w:bottom w:val="single" w:sz="8" w:space="0" w:color="auto"/>
              <w:right w:val="single" w:sz="4" w:space="0" w:color="auto"/>
            </w:tcBorders>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3%</w:t>
            </w:r>
          </w:p>
        </w:tc>
        <w:tc>
          <w:tcPr>
            <w:tcW w:w="810" w:type="dxa"/>
            <w:tcBorders>
              <w:top w:val="nil"/>
              <w:left w:val="nil"/>
              <w:bottom w:val="single" w:sz="8" w:space="0" w:color="auto"/>
              <w:right w:val="single" w:sz="4" w:space="0" w:color="auto"/>
            </w:tcBorders>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9%</w:t>
            </w:r>
          </w:p>
        </w:tc>
        <w:tc>
          <w:tcPr>
            <w:tcW w:w="1350" w:type="dxa"/>
            <w:tcBorders>
              <w:top w:val="nil"/>
              <w:left w:val="nil"/>
              <w:bottom w:val="single" w:sz="8" w:space="0" w:color="auto"/>
              <w:right w:val="single" w:sz="4" w:space="0" w:color="auto"/>
            </w:tcBorders>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5%</w:t>
            </w:r>
          </w:p>
        </w:tc>
        <w:tc>
          <w:tcPr>
            <w:tcW w:w="990" w:type="dxa"/>
            <w:tcBorders>
              <w:top w:val="nil"/>
              <w:left w:val="nil"/>
              <w:bottom w:val="single" w:sz="8" w:space="0" w:color="auto"/>
              <w:right w:val="single" w:sz="4" w:space="0" w:color="auto"/>
            </w:tcBorders>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1%</w:t>
            </w:r>
          </w:p>
        </w:tc>
        <w:tc>
          <w:tcPr>
            <w:tcW w:w="983" w:type="dxa"/>
            <w:tcBorders>
              <w:top w:val="nil"/>
              <w:left w:val="nil"/>
              <w:bottom w:val="single" w:sz="8" w:space="0" w:color="auto"/>
              <w:right w:val="single" w:sz="4" w:space="0" w:color="auto"/>
            </w:tcBorders>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2%</w:t>
            </w:r>
          </w:p>
        </w:tc>
        <w:tc>
          <w:tcPr>
            <w:tcW w:w="1447" w:type="dxa"/>
            <w:tcBorders>
              <w:top w:val="nil"/>
              <w:left w:val="nil"/>
              <w:bottom w:val="single" w:sz="8" w:space="0" w:color="auto"/>
              <w:right w:val="single" w:sz="4" w:space="0" w:color="auto"/>
            </w:tcBorders>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100%</w:t>
            </w:r>
          </w:p>
        </w:tc>
        <w:tc>
          <w:tcPr>
            <w:tcW w:w="1710" w:type="dxa"/>
            <w:tcBorders>
              <w:top w:val="nil"/>
              <w:left w:val="nil"/>
              <w:bottom w:val="single" w:sz="8" w:space="0" w:color="auto"/>
              <w:right w:val="single" w:sz="4" w:space="0" w:color="auto"/>
            </w:tcBorders>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 </w:t>
            </w:r>
          </w:p>
        </w:tc>
      </w:tr>
      <w:tr w:rsidR="00EC35C4" w:rsidRPr="00AD151D" w:rsidTr="00277DC8">
        <w:trPr>
          <w:trHeight w:val="78"/>
        </w:trPr>
        <w:tc>
          <w:tcPr>
            <w:tcW w:w="630" w:type="dxa"/>
            <w:vMerge w:val="restart"/>
            <w:tcBorders>
              <w:top w:val="nil"/>
              <w:left w:val="single" w:sz="4" w:space="0" w:color="auto"/>
              <w:bottom w:val="single" w:sz="4" w:space="0" w:color="auto"/>
              <w:right w:val="single" w:sz="4" w:space="0" w:color="auto"/>
            </w:tcBorders>
            <w:noWrap/>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Aug-11</w:t>
            </w:r>
          </w:p>
        </w:tc>
        <w:tc>
          <w:tcPr>
            <w:tcW w:w="1170" w:type="dxa"/>
            <w:tcBorders>
              <w:top w:val="nil"/>
              <w:left w:val="nil"/>
              <w:bottom w:val="single" w:sz="4" w:space="0" w:color="auto"/>
              <w:right w:val="single" w:sz="4" w:space="0" w:color="auto"/>
            </w:tcBorders>
            <w:noWrap/>
            <w:vAlign w:val="bottom"/>
          </w:tcPr>
          <w:p w:rsidR="00AE7D50" w:rsidRPr="00AD151D" w:rsidRDefault="00AE7D50">
            <w:pPr>
              <w:jc w:val="center"/>
              <w:rPr>
                <w:rFonts w:ascii="Arial Narrow" w:hAnsi="Arial Narrow"/>
                <w:b/>
                <w:bCs/>
                <w:sz w:val="17"/>
                <w:szCs w:val="17"/>
              </w:rPr>
            </w:pPr>
            <w:r w:rsidRPr="00AD151D">
              <w:rPr>
                <w:rFonts w:ascii="Arial Narrow" w:hAnsi="Arial Narrow"/>
                <w:b/>
                <w:bCs/>
                <w:sz w:val="17"/>
                <w:szCs w:val="17"/>
              </w:rPr>
              <w:t>CPUC LSEs</w:t>
            </w:r>
          </w:p>
        </w:tc>
        <w:tc>
          <w:tcPr>
            <w:tcW w:w="900" w:type="dxa"/>
            <w:tcBorders>
              <w:top w:val="nil"/>
              <w:left w:val="nil"/>
              <w:bottom w:val="single" w:sz="4" w:space="0" w:color="auto"/>
              <w:right w:val="single" w:sz="4" w:space="0" w:color="auto"/>
            </w:tcBorders>
            <w:shd w:val="clear" w:color="000000" w:fill="66FFCC"/>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45</w:t>
            </w:r>
            <w:r w:rsidR="004A2ECB">
              <w:rPr>
                <w:rFonts w:ascii="Arial Narrow" w:hAnsi="Arial Narrow"/>
                <w:sz w:val="18"/>
                <w:szCs w:val="18"/>
              </w:rPr>
              <w:t>,</w:t>
            </w:r>
            <w:r w:rsidRPr="00AD151D">
              <w:rPr>
                <w:rFonts w:ascii="Arial Narrow" w:hAnsi="Arial Narrow"/>
                <w:sz w:val="18"/>
                <w:szCs w:val="18"/>
              </w:rPr>
              <w:t>180</w:t>
            </w:r>
          </w:p>
        </w:tc>
        <w:tc>
          <w:tcPr>
            <w:tcW w:w="1170" w:type="dxa"/>
            <w:tcBorders>
              <w:top w:val="nil"/>
              <w:left w:val="nil"/>
              <w:bottom w:val="single" w:sz="4" w:space="0" w:color="auto"/>
              <w:right w:val="single" w:sz="4" w:space="0" w:color="auto"/>
            </w:tcBorders>
            <w:shd w:val="clear" w:color="000000" w:fill="66FFCC"/>
            <w:noWrap/>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51</w:t>
            </w:r>
            <w:r w:rsidR="004A2ECB">
              <w:rPr>
                <w:rFonts w:ascii="Arial Narrow" w:hAnsi="Arial Narrow"/>
                <w:sz w:val="18"/>
                <w:szCs w:val="18"/>
              </w:rPr>
              <w:t>,</w:t>
            </w:r>
            <w:r w:rsidRPr="00AD151D">
              <w:rPr>
                <w:rFonts w:ascii="Arial Narrow" w:hAnsi="Arial Narrow"/>
                <w:sz w:val="18"/>
                <w:szCs w:val="18"/>
              </w:rPr>
              <w:t>957</w:t>
            </w:r>
          </w:p>
        </w:tc>
        <w:tc>
          <w:tcPr>
            <w:tcW w:w="1260" w:type="dxa"/>
            <w:tcBorders>
              <w:top w:val="nil"/>
              <w:left w:val="nil"/>
              <w:bottom w:val="single" w:sz="4" w:space="0" w:color="auto"/>
              <w:right w:val="single" w:sz="4" w:space="0" w:color="auto"/>
            </w:tcBorders>
            <w:shd w:val="clear" w:color="000000" w:fill="66FFCC"/>
            <w:noWrap/>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41,647</w:t>
            </w:r>
          </w:p>
        </w:tc>
        <w:tc>
          <w:tcPr>
            <w:tcW w:w="900" w:type="dxa"/>
            <w:tcBorders>
              <w:top w:val="nil"/>
              <w:left w:val="nil"/>
              <w:bottom w:val="single" w:sz="4" w:space="0" w:color="auto"/>
              <w:right w:val="single" w:sz="4" w:space="0" w:color="auto"/>
            </w:tcBorders>
            <w:shd w:val="clear" w:color="000000" w:fill="66FFCC"/>
            <w:noWrap/>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1,695</w:t>
            </w:r>
          </w:p>
        </w:tc>
        <w:tc>
          <w:tcPr>
            <w:tcW w:w="810" w:type="dxa"/>
            <w:tcBorders>
              <w:top w:val="nil"/>
              <w:left w:val="nil"/>
              <w:bottom w:val="single" w:sz="4" w:space="0" w:color="auto"/>
              <w:right w:val="single" w:sz="4" w:space="0" w:color="auto"/>
            </w:tcBorders>
            <w:shd w:val="clear" w:color="000000" w:fill="66FFCC"/>
            <w:noWrap/>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5,119</w:t>
            </w:r>
          </w:p>
        </w:tc>
        <w:tc>
          <w:tcPr>
            <w:tcW w:w="1350" w:type="dxa"/>
            <w:tcBorders>
              <w:top w:val="nil"/>
              <w:left w:val="nil"/>
              <w:bottom w:val="single" w:sz="4" w:space="0" w:color="auto"/>
              <w:right w:val="single" w:sz="4" w:space="0" w:color="auto"/>
            </w:tcBorders>
            <w:shd w:val="clear" w:color="000000" w:fill="66FFCC"/>
            <w:noWrap/>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2580</w:t>
            </w:r>
          </w:p>
        </w:tc>
        <w:tc>
          <w:tcPr>
            <w:tcW w:w="990" w:type="dxa"/>
            <w:tcBorders>
              <w:top w:val="nil"/>
              <w:left w:val="nil"/>
              <w:bottom w:val="single" w:sz="4" w:space="0" w:color="auto"/>
              <w:right w:val="single" w:sz="4" w:space="0" w:color="auto"/>
            </w:tcBorders>
            <w:shd w:val="clear" w:color="000000" w:fill="66FFCC"/>
            <w:noWrap/>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0</w:t>
            </w:r>
          </w:p>
        </w:tc>
        <w:tc>
          <w:tcPr>
            <w:tcW w:w="983" w:type="dxa"/>
            <w:tcBorders>
              <w:top w:val="single" w:sz="4" w:space="0" w:color="auto"/>
              <w:left w:val="nil"/>
              <w:bottom w:val="single" w:sz="4" w:space="0" w:color="auto"/>
              <w:right w:val="single" w:sz="4" w:space="0" w:color="auto"/>
            </w:tcBorders>
            <w:shd w:val="clear" w:color="000000" w:fill="66FFCC"/>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1085</w:t>
            </w:r>
          </w:p>
        </w:tc>
        <w:tc>
          <w:tcPr>
            <w:tcW w:w="1447" w:type="dxa"/>
            <w:tcBorders>
              <w:top w:val="single" w:sz="4" w:space="0" w:color="auto"/>
              <w:left w:val="nil"/>
              <w:bottom w:val="single" w:sz="4" w:space="0" w:color="auto"/>
              <w:right w:val="single" w:sz="4" w:space="0" w:color="auto"/>
            </w:tcBorders>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52</w:t>
            </w:r>
            <w:r w:rsidR="004A2ECB">
              <w:rPr>
                <w:rFonts w:ascii="Arial Narrow" w:hAnsi="Arial Narrow"/>
                <w:sz w:val="18"/>
                <w:szCs w:val="18"/>
              </w:rPr>
              <w:t>,</w:t>
            </w:r>
            <w:r w:rsidRPr="00AD151D">
              <w:rPr>
                <w:rFonts w:ascii="Arial Narrow" w:hAnsi="Arial Narrow"/>
                <w:sz w:val="18"/>
                <w:szCs w:val="18"/>
              </w:rPr>
              <w:t>513</w:t>
            </w:r>
          </w:p>
        </w:tc>
        <w:tc>
          <w:tcPr>
            <w:tcW w:w="1710" w:type="dxa"/>
            <w:tcBorders>
              <w:top w:val="nil"/>
              <w:left w:val="nil"/>
              <w:bottom w:val="single" w:sz="4" w:space="0" w:color="auto"/>
              <w:right w:val="single" w:sz="4" w:space="0" w:color="auto"/>
            </w:tcBorders>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101%</w:t>
            </w:r>
          </w:p>
        </w:tc>
      </w:tr>
      <w:tr w:rsidR="00EC35C4" w:rsidRPr="00AD151D" w:rsidTr="00277DC8">
        <w:trPr>
          <w:trHeight w:val="78"/>
        </w:trPr>
        <w:tc>
          <w:tcPr>
            <w:tcW w:w="630" w:type="dxa"/>
            <w:vMerge/>
            <w:tcBorders>
              <w:top w:val="nil"/>
              <w:left w:val="single" w:sz="4" w:space="0" w:color="auto"/>
              <w:bottom w:val="single" w:sz="4" w:space="0" w:color="auto"/>
              <w:right w:val="single" w:sz="4" w:space="0" w:color="auto"/>
            </w:tcBorders>
            <w:vAlign w:val="center"/>
          </w:tcPr>
          <w:p w:rsidR="00AE7D50" w:rsidRPr="00AD151D" w:rsidRDefault="00AE7D50">
            <w:pPr>
              <w:rPr>
                <w:rFonts w:ascii="Arial Narrow" w:hAnsi="Arial Narrow"/>
                <w:b/>
                <w:bCs/>
                <w:sz w:val="18"/>
                <w:szCs w:val="18"/>
              </w:rPr>
            </w:pPr>
          </w:p>
        </w:tc>
        <w:tc>
          <w:tcPr>
            <w:tcW w:w="1170" w:type="dxa"/>
            <w:tcBorders>
              <w:top w:val="nil"/>
              <w:left w:val="nil"/>
              <w:bottom w:val="single" w:sz="4" w:space="0" w:color="auto"/>
              <w:right w:val="single" w:sz="4" w:space="0" w:color="auto"/>
            </w:tcBorders>
            <w:noWrap/>
            <w:vAlign w:val="bottom"/>
          </w:tcPr>
          <w:p w:rsidR="00AE7D50" w:rsidRPr="00AD151D" w:rsidRDefault="00AE7D50">
            <w:pPr>
              <w:jc w:val="center"/>
              <w:rPr>
                <w:rFonts w:ascii="Arial Narrow" w:hAnsi="Arial Narrow"/>
                <w:b/>
                <w:bCs/>
                <w:sz w:val="17"/>
                <w:szCs w:val="17"/>
              </w:rPr>
            </w:pPr>
            <w:r w:rsidRPr="00AD151D">
              <w:rPr>
                <w:rFonts w:ascii="Arial Narrow" w:hAnsi="Arial Narrow"/>
                <w:b/>
                <w:bCs/>
                <w:sz w:val="17"/>
                <w:szCs w:val="17"/>
              </w:rPr>
              <w:t>Non-CPUC LSEs</w:t>
            </w:r>
          </w:p>
        </w:tc>
        <w:tc>
          <w:tcPr>
            <w:tcW w:w="900" w:type="dxa"/>
            <w:tcBorders>
              <w:top w:val="nil"/>
              <w:left w:val="nil"/>
              <w:bottom w:val="single" w:sz="4" w:space="0" w:color="auto"/>
              <w:right w:val="single" w:sz="4" w:space="0" w:color="auto"/>
            </w:tcBorders>
            <w:shd w:val="clear" w:color="000000" w:fill="66FFCC"/>
            <w:noWrap/>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3</w:t>
            </w:r>
            <w:r w:rsidR="004A2ECB">
              <w:rPr>
                <w:rFonts w:ascii="Arial Narrow" w:hAnsi="Arial Narrow"/>
                <w:sz w:val="18"/>
                <w:szCs w:val="18"/>
              </w:rPr>
              <w:t>,</w:t>
            </w:r>
            <w:r w:rsidRPr="00AD151D">
              <w:rPr>
                <w:rFonts w:ascii="Arial Narrow" w:hAnsi="Arial Narrow"/>
                <w:sz w:val="18"/>
                <w:szCs w:val="18"/>
              </w:rPr>
              <w:t>585</w:t>
            </w:r>
          </w:p>
        </w:tc>
        <w:tc>
          <w:tcPr>
            <w:tcW w:w="1170" w:type="dxa"/>
            <w:tcBorders>
              <w:top w:val="nil"/>
              <w:left w:val="nil"/>
              <w:bottom w:val="single" w:sz="4" w:space="0" w:color="auto"/>
              <w:right w:val="single" w:sz="4" w:space="0" w:color="auto"/>
            </w:tcBorders>
            <w:shd w:val="clear" w:color="000000" w:fill="66FFCC"/>
            <w:noWrap/>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4</w:t>
            </w:r>
            <w:r w:rsidR="004A2ECB">
              <w:rPr>
                <w:rFonts w:ascii="Arial Narrow" w:hAnsi="Arial Narrow"/>
                <w:sz w:val="18"/>
                <w:szCs w:val="18"/>
              </w:rPr>
              <w:t>,</w:t>
            </w:r>
            <w:r w:rsidRPr="00AD151D">
              <w:rPr>
                <w:rFonts w:ascii="Arial Narrow" w:hAnsi="Arial Narrow"/>
                <w:sz w:val="18"/>
                <w:szCs w:val="18"/>
              </w:rPr>
              <w:t>053</w:t>
            </w:r>
          </w:p>
        </w:tc>
        <w:tc>
          <w:tcPr>
            <w:tcW w:w="1260" w:type="dxa"/>
            <w:tcBorders>
              <w:top w:val="nil"/>
              <w:left w:val="nil"/>
              <w:bottom w:val="single" w:sz="4" w:space="0" w:color="auto"/>
              <w:right w:val="single" w:sz="4" w:space="0" w:color="auto"/>
            </w:tcBorders>
            <w:shd w:val="clear" w:color="000000" w:fill="66FFCC"/>
            <w:noWrap/>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2</w:t>
            </w:r>
            <w:r w:rsidR="004A2ECB">
              <w:rPr>
                <w:rFonts w:ascii="Arial Narrow" w:hAnsi="Arial Narrow"/>
                <w:sz w:val="18"/>
                <w:szCs w:val="18"/>
              </w:rPr>
              <w:t>,</w:t>
            </w:r>
            <w:r w:rsidRPr="00AD151D">
              <w:rPr>
                <w:rFonts w:ascii="Arial Narrow" w:hAnsi="Arial Narrow"/>
                <w:sz w:val="18"/>
                <w:szCs w:val="18"/>
              </w:rPr>
              <w:t>393</w:t>
            </w:r>
          </w:p>
        </w:tc>
        <w:tc>
          <w:tcPr>
            <w:tcW w:w="900" w:type="dxa"/>
            <w:tcBorders>
              <w:top w:val="nil"/>
              <w:left w:val="nil"/>
              <w:bottom w:val="single" w:sz="4" w:space="0" w:color="auto"/>
              <w:right w:val="single" w:sz="4" w:space="0" w:color="auto"/>
            </w:tcBorders>
            <w:shd w:val="clear" w:color="000000" w:fill="66FFCC"/>
            <w:noWrap/>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 </w:t>
            </w:r>
          </w:p>
        </w:tc>
        <w:tc>
          <w:tcPr>
            <w:tcW w:w="810" w:type="dxa"/>
            <w:tcBorders>
              <w:top w:val="nil"/>
              <w:left w:val="nil"/>
              <w:bottom w:val="single" w:sz="4" w:space="0" w:color="auto"/>
              <w:right w:val="single" w:sz="4" w:space="0" w:color="auto"/>
            </w:tcBorders>
            <w:shd w:val="clear" w:color="000000" w:fill="66FFCC"/>
            <w:noWrap/>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1031</w:t>
            </w:r>
          </w:p>
        </w:tc>
        <w:tc>
          <w:tcPr>
            <w:tcW w:w="1350" w:type="dxa"/>
            <w:tcBorders>
              <w:top w:val="nil"/>
              <w:left w:val="nil"/>
              <w:bottom w:val="single" w:sz="4" w:space="0" w:color="auto"/>
              <w:right w:val="single" w:sz="4" w:space="0" w:color="auto"/>
            </w:tcBorders>
            <w:shd w:val="clear" w:color="000000" w:fill="66FFCC"/>
            <w:noWrap/>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226</w:t>
            </w:r>
          </w:p>
        </w:tc>
        <w:tc>
          <w:tcPr>
            <w:tcW w:w="990" w:type="dxa"/>
            <w:tcBorders>
              <w:top w:val="nil"/>
              <w:left w:val="nil"/>
              <w:bottom w:val="single" w:sz="4" w:space="0" w:color="auto"/>
              <w:right w:val="single" w:sz="4" w:space="0" w:color="auto"/>
            </w:tcBorders>
            <w:shd w:val="clear" w:color="000000" w:fill="66FFCC"/>
            <w:noWrap/>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517</w:t>
            </w:r>
          </w:p>
        </w:tc>
        <w:tc>
          <w:tcPr>
            <w:tcW w:w="983" w:type="dxa"/>
            <w:tcBorders>
              <w:top w:val="nil"/>
              <w:left w:val="nil"/>
              <w:bottom w:val="single" w:sz="4" w:space="0" w:color="auto"/>
              <w:right w:val="single" w:sz="4" w:space="0" w:color="auto"/>
            </w:tcBorders>
            <w:shd w:val="clear" w:color="000000" w:fill="66FFCC"/>
            <w:noWrap/>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0</w:t>
            </w:r>
          </w:p>
        </w:tc>
        <w:tc>
          <w:tcPr>
            <w:tcW w:w="1447" w:type="dxa"/>
            <w:tcBorders>
              <w:top w:val="nil"/>
              <w:left w:val="nil"/>
              <w:bottom w:val="single" w:sz="4" w:space="0" w:color="auto"/>
              <w:right w:val="single" w:sz="4" w:space="0" w:color="auto"/>
            </w:tcBorders>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4</w:t>
            </w:r>
            <w:r w:rsidR="004A2ECB">
              <w:rPr>
                <w:rFonts w:ascii="Arial Narrow" w:hAnsi="Arial Narrow"/>
                <w:sz w:val="18"/>
                <w:szCs w:val="18"/>
              </w:rPr>
              <w:t>,</w:t>
            </w:r>
            <w:r w:rsidRPr="00AD151D">
              <w:rPr>
                <w:rFonts w:ascii="Arial Narrow" w:hAnsi="Arial Narrow"/>
                <w:sz w:val="18"/>
                <w:szCs w:val="18"/>
              </w:rPr>
              <w:t>201</w:t>
            </w:r>
          </w:p>
        </w:tc>
        <w:tc>
          <w:tcPr>
            <w:tcW w:w="1710" w:type="dxa"/>
            <w:tcBorders>
              <w:top w:val="nil"/>
              <w:left w:val="nil"/>
              <w:bottom w:val="single" w:sz="4" w:space="0" w:color="auto"/>
              <w:right w:val="single" w:sz="4" w:space="0" w:color="auto"/>
            </w:tcBorders>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104%</w:t>
            </w:r>
          </w:p>
        </w:tc>
      </w:tr>
      <w:tr w:rsidR="00EC35C4" w:rsidRPr="00AD151D" w:rsidTr="00277DC8">
        <w:trPr>
          <w:trHeight w:val="78"/>
        </w:trPr>
        <w:tc>
          <w:tcPr>
            <w:tcW w:w="630" w:type="dxa"/>
            <w:vMerge/>
            <w:tcBorders>
              <w:top w:val="nil"/>
              <w:left w:val="single" w:sz="4" w:space="0" w:color="auto"/>
              <w:bottom w:val="single" w:sz="4" w:space="0" w:color="auto"/>
              <w:right w:val="single" w:sz="4" w:space="0" w:color="auto"/>
            </w:tcBorders>
            <w:vAlign w:val="center"/>
          </w:tcPr>
          <w:p w:rsidR="00AE7D50" w:rsidRPr="00AD151D" w:rsidRDefault="00AE7D50">
            <w:pPr>
              <w:rPr>
                <w:rFonts w:ascii="Arial Narrow" w:hAnsi="Arial Narrow"/>
                <w:b/>
                <w:bCs/>
                <w:sz w:val="18"/>
                <w:szCs w:val="18"/>
              </w:rPr>
            </w:pPr>
          </w:p>
        </w:tc>
        <w:tc>
          <w:tcPr>
            <w:tcW w:w="1170" w:type="dxa"/>
            <w:tcBorders>
              <w:top w:val="nil"/>
              <w:left w:val="nil"/>
              <w:bottom w:val="single" w:sz="4" w:space="0" w:color="auto"/>
              <w:right w:val="single" w:sz="4" w:space="0" w:color="auto"/>
            </w:tcBorders>
            <w:noWrap/>
            <w:vAlign w:val="bottom"/>
          </w:tcPr>
          <w:p w:rsidR="00AE7D50" w:rsidRPr="00AD151D" w:rsidRDefault="00AE7D50">
            <w:pPr>
              <w:jc w:val="center"/>
              <w:rPr>
                <w:rFonts w:ascii="Arial Narrow" w:hAnsi="Arial Narrow"/>
                <w:b/>
                <w:bCs/>
                <w:sz w:val="17"/>
                <w:szCs w:val="17"/>
              </w:rPr>
            </w:pPr>
            <w:r w:rsidRPr="00AD151D">
              <w:rPr>
                <w:rFonts w:ascii="Arial Narrow" w:hAnsi="Arial Narrow"/>
                <w:b/>
                <w:bCs/>
                <w:sz w:val="17"/>
                <w:szCs w:val="17"/>
              </w:rPr>
              <w:t>Total RA capacity</w:t>
            </w:r>
          </w:p>
        </w:tc>
        <w:tc>
          <w:tcPr>
            <w:tcW w:w="900" w:type="dxa"/>
            <w:tcBorders>
              <w:top w:val="nil"/>
              <w:left w:val="nil"/>
              <w:bottom w:val="single" w:sz="4" w:space="0" w:color="auto"/>
              <w:right w:val="single" w:sz="4" w:space="0" w:color="auto"/>
            </w:tcBorders>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48</w:t>
            </w:r>
            <w:r w:rsidR="004A2ECB">
              <w:rPr>
                <w:rFonts w:ascii="Arial Narrow" w:hAnsi="Arial Narrow"/>
                <w:b/>
                <w:bCs/>
                <w:sz w:val="18"/>
                <w:szCs w:val="18"/>
              </w:rPr>
              <w:t>,</w:t>
            </w:r>
            <w:r w:rsidRPr="00AD151D">
              <w:rPr>
                <w:rFonts w:ascii="Arial Narrow" w:hAnsi="Arial Narrow"/>
                <w:b/>
                <w:bCs/>
                <w:sz w:val="18"/>
                <w:szCs w:val="18"/>
              </w:rPr>
              <w:t>765</w:t>
            </w:r>
          </w:p>
        </w:tc>
        <w:tc>
          <w:tcPr>
            <w:tcW w:w="1170" w:type="dxa"/>
            <w:tcBorders>
              <w:top w:val="nil"/>
              <w:left w:val="nil"/>
              <w:bottom w:val="single" w:sz="4" w:space="0" w:color="auto"/>
              <w:right w:val="single" w:sz="4" w:space="0" w:color="auto"/>
            </w:tcBorders>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56</w:t>
            </w:r>
            <w:r w:rsidR="004A2ECB">
              <w:rPr>
                <w:rFonts w:ascii="Arial Narrow" w:hAnsi="Arial Narrow"/>
                <w:b/>
                <w:bCs/>
                <w:sz w:val="18"/>
                <w:szCs w:val="18"/>
              </w:rPr>
              <w:t>,</w:t>
            </w:r>
            <w:r w:rsidRPr="00AD151D">
              <w:rPr>
                <w:rFonts w:ascii="Arial Narrow" w:hAnsi="Arial Narrow"/>
                <w:b/>
                <w:bCs/>
                <w:sz w:val="18"/>
                <w:szCs w:val="18"/>
              </w:rPr>
              <w:t>010</w:t>
            </w:r>
          </w:p>
        </w:tc>
        <w:tc>
          <w:tcPr>
            <w:tcW w:w="1260" w:type="dxa"/>
            <w:tcBorders>
              <w:top w:val="nil"/>
              <w:left w:val="nil"/>
              <w:bottom w:val="single" w:sz="4" w:space="0" w:color="auto"/>
              <w:right w:val="single" w:sz="4" w:space="0" w:color="auto"/>
            </w:tcBorders>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44</w:t>
            </w:r>
            <w:r w:rsidR="004A2ECB">
              <w:rPr>
                <w:rFonts w:ascii="Arial Narrow" w:hAnsi="Arial Narrow"/>
                <w:b/>
                <w:bCs/>
                <w:sz w:val="18"/>
                <w:szCs w:val="18"/>
              </w:rPr>
              <w:t>,</w:t>
            </w:r>
            <w:r w:rsidRPr="00AD151D">
              <w:rPr>
                <w:rFonts w:ascii="Arial Narrow" w:hAnsi="Arial Narrow"/>
                <w:b/>
                <w:bCs/>
                <w:sz w:val="18"/>
                <w:szCs w:val="18"/>
              </w:rPr>
              <w:t>039</w:t>
            </w:r>
          </w:p>
        </w:tc>
        <w:tc>
          <w:tcPr>
            <w:tcW w:w="900" w:type="dxa"/>
            <w:tcBorders>
              <w:top w:val="nil"/>
              <w:left w:val="nil"/>
              <w:bottom w:val="single" w:sz="4" w:space="0" w:color="auto"/>
              <w:right w:val="single" w:sz="4" w:space="0" w:color="auto"/>
            </w:tcBorders>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1</w:t>
            </w:r>
            <w:r w:rsidR="004A2ECB">
              <w:rPr>
                <w:rFonts w:ascii="Arial Narrow" w:hAnsi="Arial Narrow"/>
                <w:b/>
                <w:bCs/>
                <w:sz w:val="18"/>
                <w:szCs w:val="18"/>
              </w:rPr>
              <w:t>,</w:t>
            </w:r>
            <w:r w:rsidRPr="00AD151D">
              <w:rPr>
                <w:rFonts w:ascii="Arial Narrow" w:hAnsi="Arial Narrow"/>
                <w:b/>
                <w:bCs/>
                <w:sz w:val="18"/>
                <w:szCs w:val="18"/>
              </w:rPr>
              <w:t>695</w:t>
            </w:r>
          </w:p>
        </w:tc>
        <w:tc>
          <w:tcPr>
            <w:tcW w:w="810" w:type="dxa"/>
            <w:tcBorders>
              <w:top w:val="nil"/>
              <w:left w:val="nil"/>
              <w:bottom w:val="single" w:sz="4" w:space="0" w:color="auto"/>
              <w:right w:val="single" w:sz="4" w:space="0" w:color="auto"/>
            </w:tcBorders>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6</w:t>
            </w:r>
            <w:r w:rsidR="004A2ECB">
              <w:rPr>
                <w:rFonts w:ascii="Arial Narrow" w:hAnsi="Arial Narrow"/>
                <w:b/>
                <w:bCs/>
                <w:sz w:val="18"/>
                <w:szCs w:val="18"/>
              </w:rPr>
              <w:t>,</w:t>
            </w:r>
            <w:r w:rsidRPr="00AD151D">
              <w:rPr>
                <w:rFonts w:ascii="Arial Narrow" w:hAnsi="Arial Narrow"/>
                <w:b/>
                <w:bCs/>
                <w:sz w:val="18"/>
                <w:szCs w:val="18"/>
              </w:rPr>
              <w:t>150</w:t>
            </w:r>
          </w:p>
        </w:tc>
        <w:tc>
          <w:tcPr>
            <w:tcW w:w="1350" w:type="dxa"/>
            <w:tcBorders>
              <w:top w:val="nil"/>
              <w:left w:val="nil"/>
              <w:bottom w:val="single" w:sz="4" w:space="0" w:color="auto"/>
              <w:right w:val="single" w:sz="4" w:space="0" w:color="auto"/>
            </w:tcBorders>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2</w:t>
            </w:r>
            <w:r w:rsidR="004A2ECB">
              <w:rPr>
                <w:rFonts w:ascii="Arial Narrow" w:hAnsi="Arial Narrow"/>
                <w:b/>
                <w:bCs/>
                <w:sz w:val="18"/>
                <w:szCs w:val="18"/>
              </w:rPr>
              <w:t>,</w:t>
            </w:r>
            <w:r w:rsidRPr="00AD151D">
              <w:rPr>
                <w:rFonts w:ascii="Arial Narrow" w:hAnsi="Arial Narrow"/>
                <w:b/>
                <w:bCs/>
                <w:sz w:val="18"/>
                <w:szCs w:val="18"/>
              </w:rPr>
              <w:t>806</w:t>
            </w:r>
          </w:p>
        </w:tc>
        <w:tc>
          <w:tcPr>
            <w:tcW w:w="990" w:type="dxa"/>
            <w:tcBorders>
              <w:top w:val="nil"/>
              <w:left w:val="nil"/>
              <w:bottom w:val="single" w:sz="4" w:space="0" w:color="auto"/>
              <w:right w:val="single" w:sz="4" w:space="0" w:color="auto"/>
            </w:tcBorders>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517</w:t>
            </w:r>
          </w:p>
        </w:tc>
        <w:tc>
          <w:tcPr>
            <w:tcW w:w="983" w:type="dxa"/>
            <w:tcBorders>
              <w:top w:val="nil"/>
              <w:left w:val="nil"/>
              <w:bottom w:val="single" w:sz="4" w:space="0" w:color="auto"/>
              <w:right w:val="single" w:sz="4" w:space="0" w:color="auto"/>
            </w:tcBorders>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1</w:t>
            </w:r>
            <w:r w:rsidR="004A2ECB">
              <w:rPr>
                <w:rFonts w:ascii="Arial Narrow" w:hAnsi="Arial Narrow"/>
                <w:b/>
                <w:bCs/>
                <w:sz w:val="18"/>
                <w:szCs w:val="18"/>
              </w:rPr>
              <w:t>,</w:t>
            </w:r>
            <w:r w:rsidRPr="00AD151D">
              <w:rPr>
                <w:rFonts w:ascii="Arial Narrow" w:hAnsi="Arial Narrow"/>
                <w:b/>
                <w:bCs/>
                <w:sz w:val="18"/>
                <w:szCs w:val="18"/>
              </w:rPr>
              <w:t>085</w:t>
            </w:r>
          </w:p>
        </w:tc>
        <w:tc>
          <w:tcPr>
            <w:tcW w:w="1447" w:type="dxa"/>
            <w:tcBorders>
              <w:top w:val="nil"/>
              <w:left w:val="nil"/>
              <w:bottom w:val="single" w:sz="4" w:space="0" w:color="auto"/>
              <w:right w:val="single" w:sz="4" w:space="0" w:color="auto"/>
            </w:tcBorders>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56</w:t>
            </w:r>
            <w:r w:rsidR="004A2ECB">
              <w:rPr>
                <w:rFonts w:ascii="Arial Narrow" w:hAnsi="Arial Narrow"/>
                <w:sz w:val="18"/>
                <w:szCs w:val="18"/>
              </w:rPr>
              <w:t>,</w:t>
            </w:r>
            <w:r w:rsidRPr="00AD151D">
              <w:rPr>
                <w:rFonts w:ascii="Arial Narrow" w:hAnsi="Arial Narrow"/>
                <w:sz w:val="18"/>
                <w:szCs w:val="18"/>
              </w:rPr>
              <w:t>714</w:t>
            </w:r>
          </w:p>
        </w:tc>
        <w:tc>
          <w:tcPr>
            <w:tcW w:w="1710" w:type="dxa"/>
            <w:tcBorders>
              <w:top w:val="nil"/>
              <w:left w:val="nil"/>
              <w:bottom w:val="single" w:sz="4" w:space="0" w:color="auto"/>
              <w:right w:val="single" w:sz="4" w:space="0" w:color="auto"/>
            </w:tcBorders>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101%</w:t>
            </w:r>
          </w:p>
        </w:tc>
      </w:tr>
      <w:tr w:rsidR="00EC35C4" w:rsidRPr="00AD151D" w:rsidTr="00277DC8">
        <w:trPr>
          <w:trHeight w:val="81"/>
        </w:trPr>
        <w:tc>
          <w:tcPr>
            <w:tcW w:w="630" w:type="dxa"/>
            <w:vMerge/>
            <w:tcBorders>
              <w:top w:val="nil"/>
              <w:left w:val="single" w:sz="4" w:space="0" w:color="auto"/>
              <w:bottom w:val="single" w:sz="4" w:space="0" w:color="auto"/>
              <w:right w:val="single" w:sz="4" w:space="0" w:color="auto"/>
            </w:tcBorders>
            <w:vAlign w:val="center"/>
          </w:tcPr>
          <w:p w:rsidR="00AE7D50" w:rsidRPr="00AD151D" w:rsidRDefault="00AE7D50">
            <w:pPr>
              <w:rPr>
                <w:rFonts w:ascii="Arial Narrow" w:hAnsi="Arial Narrow"/>
                <w:b/>
                <w:bCs/>
                <w:sz w:val="18"/>
                <w:szCs w:val="18"/>
              </w:rPr>
            </w:pPr>
          </w:p>
        </w:tc>
        <w:tc>
          <w:tcPr>
            <w:tcW w:w="1170" w:type="dxa"/>
            <w:tcBorders>
              <w:top w:val="nil"/>
              <w:left w:val="nil"/>
              <w:bottom w:val="single" w:sz="8" w:space="0" w:color="auto"/>
              <w:right w:val="single" w:sz="4" w:space="0" w:color="auto"/>
            </w:tcBorders>
            <w:noWrap/>
          </w:tcPr>
          <w:p w:rsidR="00AE7D50" w:rsidRPr="00AD151D" w:rsidRDefault="00AE7D50">
            <w:pPr>
              <w:jc w:val="center"/>
              <w:rPr>
                <w:rFonts w:ascii="Arial Narrow" w:hAnsi="Arial Narrow"/>
                <w:b/>
                <w:bCs/>
                <w:sz w:val="17"/>
                <w:szCs w:val="17"/>
              </w:rPr>
            </w:pPr>
            <w:r w:rsidRPr="00AD151D">
              <w:rPr>
                <w:rFonts w:ascii="Arial Narrow" w:hAnsi="Arial Narrow"/>
                <w:b/>
                <w:bCs/>
                <w:sz w:val="17"/>
                <w:szCs w:val="17"/>
              </w:rPr>
              <w:t>% of Capacity</w:t>
            </w:r>
          </w:p>
        </w:tc>
        <w:tc>
          <w:tcPr>
            <w:tcW w:w="900" w:type="dxa"/>
            <w:tcBorders>
              <w:top w:val="nil"/>
              <w:left w:val="nil"/>
              <w:bottom w:val="single" w:sz="8" w:space="0" w:color="auto"/>
              <w:right w:val="single" w:sz="4" w:space="0" w:color="auto"/>
            </w:tcBorders>
            <w:noWrap/>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 </w:t>
            </w:r>
          </w:p>
        </w:tc>
        <w:tc>
          <w:tcPr>
            <w:tcW w:w="1170" w:type="dxa"/>
            <w:tcBorders>
              <w:top w:val="nil"/>
              <w:left w:val="nil"/>
              <w:bottom w:val="single" w:sz="8" w:space="0" w:color="auto"/>
              <w:right w:val="single" w:sz="4" w:space="0" w:color="auto"/>
            </w:tcBorders>
            <w:noWrap/>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 </w:t>
            </w:r>
          </w:p>
        </w:tc>
        <w:tc>
          <w:tcPr>
            <w:tcW w:w="1260" w:type="dxa"/>
            <w:tcBorders>
              <w:top w:val="nil"/>
              <w:left w:val="nil"/>
              <w:bottom w:val="single" w:sz="8" w:space="0" w:color="auto"/>
              <w:right w:val="single" w:sz="4" w:space="0" w:color="auto"/>
            </w:tcBorders>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78%</w:t>
            </w:r>
          </w:p>
        </w:tc>
        <w:tc>
          <w:tcPr>
            <w:tcW w:w="900" w:type="dxa"/>
            <w:tcBorders>
              <w:top w:val="nil"/>
              <w:left w:val="nil"/>
              <w:bottom w:val="single" w:sz="8" w:space="0" w:color="auto"/>
              <w:right w:val="single" w:sz="4" w:space="0" w:color="auto"/>
            </w:tcBorders>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3%</w:t>
            </w:r>
          </w:p>
        </w:tc>
        <w:tc>
          <w:tcPr>
            <w:tcW w:w="810" w:type="dxa"/>
            <w:tcBorders>
              <w:top w:val="nil"/>
              <w:left w:val="nil"/>
              <w:bottom w:val="single" w:sz="8" w:space="0" w:color="auto"/>
              <w:right w:val="single" w:sz="4" w:space="0" w:color="auto"/>
            </w:tcBorders>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11%</w:t>
            </w:r>
          </w:p>
        </w:tc>
        <w:tc>
          <w:tcPr>
            <w:tcW w:w="1350" w:type="dxa"/>
            <w:tcBorders>
              <w:top w:val="nil"/>
              <w:left w:val="nil"/>
              <w:bottom w:val="single" w:sz="8" w:space="0" w:color="auto"/>
              <w:right w:val="single" w:sz="4" w:space="0" w:color="auto"/>
            </w:tcBorders>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5%</w:t>
            </w:r>
          </w:p>
        </w:tc>
        <w:tc>
          <w:tcPr>
            <w:tcW w:w="990" w:type="dxa"/>
            <w:tcBorders>
              <w:top w:val="nil"/>
              <w:left w:val="nil"/>
              <w:bottom w:val="single" w:sz="8" w:space="0" w:color="auto"/>
              <w:right w:val="single" w:sz="4" w:space="0" w:color="auto"/>
            </w:tcBorders>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1%</w:t>
            </w:r>
          </w:p>
        </w:tc>
        <w:tc>
          <w:tcPr>
            <w:tcW w:w="983" w:type="dxa"/>
            <w:tcBorders>
              <w:top w:val="nil"/>
              <w:left w:val="nil"/>
              <w:bottom w:val="single" w:sz="8" w:space="0" w:color="auto"/>
              <w:right w:val="single" w:sz="4" w:space="0" w:color="auto"/>
            </w:tcBorders>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2%</w:t>
            </w:r>
          </w:p>
        </w:tc>
        <w:tc>
          <w:tcPr>
            <w:tcW w:w="1447" w:type="dxa"/>
            <w:tcBorders>
              <w:top w:val="nil"/>
              <w:left w:val="nil"/>
              <w:bottom w:val="single" w:sz="8" w:space="0" w:color="auto"/>
              <w:right w:val="single" w:sz="4" w:space="0" w:color="auto"/>
            </w:tcBorders>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100%</w:t>
            </w:r>
          </w:p>
        </w:tc>
        <w:tc>
          <w:tcPr>
            <w:tcW w:w="1710" w:type="dxa"/>
            <w:tcBorders>
              <w:top w:val="nil"/>
              <w:left w:val="nil"/>
              <w:bottom w:val="single" w:sz="8" w:space="0" w:color="auto"/>
              <w:right w:val="single" w:sz="4" w:space="0" w:color="auto"/>
            </w:tcBorders>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 </w:t>
            </w:r>
          </w:p>
        </w:tc>
      </w:tr>
      <w:tr w:rsidR="00EC35C4" w:rsidRPr="00AD151D" w:rsidTr="00277DC8">
        <w:trPr>
          <w:trHeight w:val="78"/>
        </w:trPr>
        <w:tc>
          <w:tcPr>
            <w:tcW w:w="630" w:type="dxa"/>
            <w:vMerge w:val="restart"/>
            <w:tcBorders>
              <w:top w:val="nil"/>
              <w:left w:val="single" w:sz="4" w:space="0" w:color="auto"/>
              <w:bottom w:val="single" w:sz="4" w:space="0" w:color="auto"/>
              <w:right w:val="single" w:sz="4" w:space="0" w:color="auto"/>
            </w:tcBorders>
            <w:noWrap/>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Sep-11</w:t>
            </w:r>
          </w:p>
        </w:tc>
        <w:tc>
          <w:tcPr>
            <w:tcW w:w="1170" w:type="dxa"/>
            <w:tcBorders>
              <w:top w:val="nil"/>
              <w:left w:val="nil"/>
              <w:bottom w:val="single" w:sz="4" w:space="0" w:color="auto"/>
              <w:right w:val="single" w:sz="4" w:space="0" w:color="auto"/>
            </w:tcBorders>
            <w:noWrap/>
            <w:vAlign w:val="bottom"/>
          </w:tcPr>
          <w:p w:rsidR="00AE7D50" w:rsidRPr="00AD151D" w:rsidRDefault="00AE7D50">
            <w:pPr>
              <w:jc w:val="center"/>
              <w:rPr>
                <w:rFonts w:ascii="Arial Narrow" w:hAnsi="Arial Narrow"/>
                <w:b/>
                <w:bCs/>
                <w:sz w:val="17"/>
                <w:szCs w:val="17"/>
              </w:rPr>
            </w:pPr>
            <w:r w:rsidRPr="00AD151D">
              <w:rPr>
                <w:rFonts w:ascii="Arial Narrow" w:hAnsi="Arial Narrow"/>
                <w:b/>
                <w:bCs/>
                <w:sz w:val="17"/>
                <w:szCs w:val="17"/>
              </w:rPr>
              <w:t>CPUC LSEs</w:t>
            </w:r>
          </w:p>
        </w:tc>
        <w:tc>
          <w:tcPr>
            <w:tcW w:w="900" w:type="dxa"/>
            <w:tcBorders>
              <w:top w:val="nil"/>
              <w:left w:val="nil"/>
              <w:bottom w:val="single" w:sz="4" w:space="0" w:color="auto"/>
              <w:right w:val="single" w:sz="4" w:space="0" w:color="auto"/>
            </w:tcBorders>
            <w:shd w:val="clear" w:color="000000" w:fill="66FFCC"/>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41</w:t>
            </w:r>
            <w:r w:rsidR="004A2ECB">
              <w:rPr>
                <w:rFonts w:ascii="Arial Narrow" w:hAnsi="Arial Narrow"/>
                <w:sz w:val="18"/>
                <w:szCs w:val="18"/>
              </w:rPr>
              <w:t>,</w:t>
            </w:r>
            <w:r w:rsidRPr="00AD151D">
              <w:rPr>
                <w:rFonts w:ascii="Arial Narrow" w:hAnsi="Arial Narrow"/>
                <w:sz w:val="18"/>
                <w:szCs w:val="18"/>
              </w:rPr>
              <w:t>660</w:t>
            </w:r>
          </w:p>
        </w:tc>
        <w:tc>
          <w:tcPr>
            <w:tcW w:w="1170" w:type="dxa"/>
            <w:tcBorders>
              <w:top w:val="nil"/>
              <w:left w:val="nil"/>
              <w:bottom w:val="single" w:sz="4" w:space="0" w:color="auto"/>
              <w:right w:val="single" w:sz="4" w:space="0" w:color="auto"/>
            </w:tcBorders>
            <w:shd w:val="clear" w:color="000000" w:fill="66FFCC"/>
            <w:noWrap/>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47</w:t>
            </w:r>
            <w:r w:rsidR="004A2ECB">
              <w:rPr>
                <w:rFonts w:ascii="Arial Narrow" w:hAnsi="Arial Narrow"/>
                <w:sz w:val="18"/>
                <w:szCs w:val="18"/>
              </w:rPr>
              <w:t>,</w:t>
            </w:r>
            <w:r w:rsidRPr="00AD151D">
              <w:rPr>
                <w:rFonts w:ascii="Arial Narrow" w:hAnsi="Arial Narrow"/>
                <w:sz w:val="18"/>
                <w:szCs w:val="18"/>
              </w:rPr>
              <w:t>908</w:t>
            </w:r>
          </w:p>
        </w:tc>
        <w:tc>
          <w:tcPr>
            <w:tcW w:w="1260" w:type="dxa"/>
            <w:tcBorders>
              <w:top w:val="nil"/>
              <w:left w:val="nil"/>
              <w:bottom w:val="single" w:sz="4" w:space="0" w:color="auto"/>
              <w:right w:val="single" w:sz="4" w:space="0" w:color="auto"/>
            </w:tcBorders>
            <w:shd w:val="clear" w:color="000000" w:fill="66FFCC"/>
            <w:noWrap/>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38,902</w:t>
            </w:r>
          </w:p>
        </w:tc>
        <w:tc>
          <w:tcPr>
            <w:tcW w:w="900" w:type="dxa"/>
            <w:tcBorders>
              <w:top w:val="nil"/>
              <w:left w:val="nil"/>
              <w:bottom w:val="single" w:sz="4" w:space="0" w:color="auto"/>
              <w:right w:val="single" w:sz="4" w:space="0" w:color="auto"/>
            </w:tcBorders>
            <w:shd w:val="clear" w:color="000000" w:fill="66FFCC"/>
            <w:noWrap/>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1,395</w:t>
            </w:r>
          </w:p>
        </w:tc>
        <w:tc>
          <w:tcPr>
            <w:tcW w:w="810" w:type="dxa"/>
            <w:tcBorders>
              <w:top w:val="nil"/>
              <w:left w:val="nil"/>
              <w:bottom w:val="single" w:sz="4" w:space="0" w:color="auto"/>
              <w:right w:val="single" w:sz="4" w:space="0" w:color="auto"/>
            </w:tcBorders>
            <w:shd w:val="clear" w:color="000000" w:fill="66FFCC"/>
            <w:noWrap/>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4,489</w:t>
            </w:r>
          </w:p>
        </w:tc>
        <w:tc>
          <w:tcPr>
            <w:tcW w:w="1350" w:type="dxa"/>
            <w:tcBorders>
              <w:top w:val="nil"/>
              <w:left w:val="nil"/>
              <w:bottom w:val="single" w:sz="4" w:space="0" w:color="auto"/>
              <w:right w:val="single" w:sz="4" w:space="0" w:color="auto"/>
            </w:tcBorders>
            <w:shd w:val="clear" w:color="000000" w:fill="66FFCC"/>
            <w:noWrap/>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2</w:t>
            </w:r>
            <w:r w:rsidR="004A2ECB">
              <w:rPr>
                <w:rFonts w:ascii="Arial Narrow" w:hAnsi="Arial Narrow"/>
                <w:sz w:val="18"/>
                <w:szCs w:val="18"/>
              </w:rPr>
              <w:t>,</w:t>
            </w:r>
            <w:r w:rsidRPr="00AD151D">
              <w:rPr>
                <w:rFonts w:ascii="Arial Narrow" w:hAnsi="Arial Narrow"/>
                <w:sz w:val="18"/>
                <w:szCs w:val="18"/>
              </w:rPr>
              <w:t>619</w:t>
            </w:r>
          </w:p>
        </w:tc>
        <w:tc>
          <w:tcPr>
            <w:tcW w:w="990" w:type="dxa"/>
            <w:tcBorders>
              <w:top w:val="nil"/>
              <w:left w:val="nil"/>
              <w:bottom w:val="single" w:sz="4" w:space="0" w:color="auto"/>
              <w:right w:val="single" w:sz="4" w:space="0" w:color="auto"/>
            </w:tcBorders>
            <w:shd w:val="clear" w:color="000000" w:fill="66FFCC"/>
            <w:noWrap/>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0</w:t>
            </w:r>
          </w:p>
        </w:tc>
        <w:tc>
          <w:tcPr>
            <w:tcW w:w="983" w:type="dxa"/>
            <w:tcBorders>
              <w:top w:val="single" w:sz="4" w:space="0" w:color="auto"/>
              <w:left w:val="nil"/>
              <w:bottom w:val="single" w:sz="4" w:space="0" w:color="auto"/>
              <w:right w:val="single" w:sz="4" w:space="0" w:color="auto"/>
            </w:tcBorders>
            <w:shd w:val="clear" w:color="000000" w:fill="66FFCC"/>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1</w:t>
            </w:r>
            <w:r w:rsidR="004A2ECB">
              <w:rPr>
                <w:rFonts w:ascii="Arial Narrow" w:hAnsi="Arial Narrow"/>
                <w:sz w:val="18"/>
                <w:szCs w:val="18"/>
              </w:rPr>
              <w:t>,</w:t>
            </w:r>
            <w:r w:rsidRPr="00AD151D">
              <w:rPr>
                <w:rFonts w:ascii="Arial Narrow" w:hAnsi="Arial Narrow"/>
                <w:sz w:val="18"/>
                <w:szCs w:val="18"/>
              </w:rPr>
              <w:t>085</w:t>
            </w:r>
          </w:p>
        </w:tc>
        <w:tc>
          <w:tcPr>
            <w:tcW w:w="1447" w:type="dxa"/>
            <w:tcBorders>
              <w:top w:val="single" w:sz="4" w:space="0" w:color="auto"/>
              <w:left w:val="nil"/>
              <w:bottom w:val="single" w:sz="4" w:space="0" w:color="auto"/>
              <w:right w:val="single" w:sz="4" w:space="0" w:color="auto"/>
            </w:tcBorders>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48</w:t>
            </w:r>
            <w:r w:rsidR="004A2ECB">
              <w:rPr>
                <w:rFonts w:ascii="Arial Narrow" w:hAnsi="Arial Narrow"/>
                <w:sz w:val="18"/>
                <w:szCs w:val="18"/>
              </w:rPr>
              <w:t>,</w:t>
            </w:r>
            <w:r w:rsidRPr="00AD151D">
              <w:rPr>
                <w:rFonts w:ascii="Arial Narrow" w:hAnsi="Arial Narrow"/>
                <w:sz w:val="18"/>
                <w:szCs w:val="18"/>
              </w:rPr>
              <w:t>884</w:t>
            </w:r>
          </w:p>
        </w:tc>
        <w:tc>
          <w:tcPr>
            <w:tcW w:w="1710" w:type="dxa"/>
            <w:tcBorders>
              <w:top w:val="nil"/>
              <w:left w:val="nil"/>
              <w:bottom w:val="single" w:sz="4" w:space="0" w:color="auto"/>
              <w:right w:val="single" w:sz="4" w:space="0" w:color="auto"/>
            </w:tcBorders>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102%</w:t>
            </w:r>
          </w:p>
        </w:tc>
      </w:tr>
      <w:tr w:rsidR="00EC35C4" w:rsidRPr="00AD151D" w:rsidTr="00277DC8">
        <w:trPr>
          <w:trHeight w:val="78"/>
        </w:trPr>
        <w:tc>
          <w:tcPr>
            <w:tcW w:w="630" w:type="dxa"/>
            <w:vMerge/>
            <w:tcBorders>
              <w:top w:val="nil"/>
              <w:left w:val="single" w:sz="4" w:space="0" w:color="auto"/>
              <w:bottom w:val="single" w:sz="4" w:space="0" w:color="auto"/>
              <w:right w:val="single" w:sz="4" w:space="0" w:color="auto"/>
            </w:tcBorders>
            <w:vAlign w:val="center"/>
          </w:tcPr>
          <w:p w:rsidR="00AE7D50" w:rsidRPr="00AD151D" w:rsidRDefault="00AE7D50">
            <w:pPr>
              <w:rPr>
                <w:rFonts w:ascii="Arial Narrow" w:hAnsi="Arial Narrow"/>
                <w:b/>
                <w:bCs/>
                <w:sz w:val="18"/>
                <w:szCs w:val="18"/>
              </w:rPr>
            </w:pPr>
          </w:p>
        </w:tc>
        <w:tc>
          <w:tcPr>
            <w:tcW w:w="1170" w:type="dxa"/>
            <w:tcBorders>
              <w:top w:val="nil"/>
              <w:left w:val="nil"/>
              <w:bottom w:val="single" w:sz="4" w:space="0" w:color="auto"/>
              <w:right w:val="single" w:sz="4" w:space="0" w:color="auto"/>
            </w:tcBorders>
            <w:noWrap/>
            <w:vAlign w:val="bottom"/>
          </w:tcPr>
          <w:p w:rsidR="00AE7D50" w:rsidRPr="00AD151D" w:rsidRDefault="00AE7D50">
            <w:pPr>
              <w:jc w:val="center"/>
              <w:rPr>
                <w:rFonts w:ascii="Arial Narrow" w:hAnsi="Arial Narrow"/>
                <w:b/>
                <w:bCs/>
                <w:sz w:val="17"/>
                <w:szCs w:val="17"/>
              </w:rPr>
            </w:pPr>
            <w:r w:rsidRPr="00AD151D">
              <w:rPr>
                <w:rFonts w:ascii="Arial Narrow" w:hAnsi="Arial Narrow"/>
                <w:b/>
                <w:bCs/>
                <w:sz w:val="17"/>
                <w:szCs w:val="17"/>
              </w:rPr>
              <w:t>Non-CPUC LSEs</w:t>
            </w:r>
          </w:p>
        </w:tc>
        <w:tc>
          <w:tcPr>
            <w:tcW w:w="900" w:type="dxa"/>
            <w:tcBorders>
              <w:top w:val="nil"/>
              <w:left w:val="nil"/>
              <w:bottom w:val="single" w:sz="4" w:space="0" w:color="auto"/>
              <w:right w:val="single" w:sz="4" w:space="0" w:color="auto"/>
            </w:tcBorders>
            <w:shd w:val="clear" w:color="000000" w:fill="66FFCC"/>
            <w:noWrap/>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3</w:t>
            </w:r>
            <w:r w:rsidR="004A2ECB">
              <w:rPr>
                <w:rFonts w:ascii="Arial Narrow" w:hAnsi="Arial Narrow"/>
                <w:sz w:val="18"/>
                <w:szCs w:val="18"/>
              </w:rPr>
              <w:t>,</w:t>
            </w:r>
            <w:r w:rsidRPr="00AD151D">
              <w:rPr>
                <w:rFonts w:ascii="Arial Narrow" w:hAnsi="Arial Narrow"/>
                <w:sz w:val="18"/>
                <w:szCs w:val="18"/>
              </w:rPr>
              <w:t>498</w:t>
            </w:r>
          </w:p>
        </w:tc>
        <w:tc>
          <w:tcPr>
            <w:tcW w:w="1170" w:type="dxa"/>
            <w:tcBorders>
              <w:top w:val="nil"/>
              <w:left w:val="nil"/>
              <w:bottom w:val="single" w:sz="4" w:space="0" w:color="auto"/>
              <w:right w:val="single" w:sz="4" w:space="0" w:color="auto"/>
            </w:tcBorders>
            <w:shd w:val="clear" w:color="000000" w:fill="66FFCC"/>
            <w:noWrap/>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3</w:t>
            </w:r>
            <w:r w:rsidR="004A2ECB">
              <w:rPr>
                <w:rFonts w:ascii="Arial Narrow" w:hAnsi="Arial Narrow"/>
                <w:sz w:val="18"/>
                <w:szCs w:val="18"/>
              </w:rPr>
              <w:t>,</w:t>
            </w:r>
            <w:r w:rsidRPr="00AD151D">
              <w:rPr>
                <w:rFonts w:ascii="Arial Narrow" w:hAnsi="Arial Narrow"/>
                <w:sz w:val="18"/>
                <w:szCs w:val="18"/>
              </w:rPr>
              <w:t>498</w:t>
            </w:r>
          </w:p>
        </w:tc>
        <w:tc>
          <w:tcPr>
            <w:tcW w:w="1260" w:type="dxa"/>
            <w:tcBorders>
              <w:top w:val="nil"/>
              <w:left w:val="nil"/>
              <w:bottom w:val="single" w:sz="4" w:space="0" w:color="auto"/>
              <w:right w:val="single" w:sz="4" w:space="0" w:color="auto"/>
            </w:tcBorders>
            <w:shd w:val="clear" w:color="000000" w:fill="66FFCC"/>
            <w:noWrap/>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2</w:t>
            </w:r>
            <w:r w:rsidR="004A2ECB">
              <w:rPr>
                <w:rFonts w:ascii="Arial Narrow" w:hAnsi="Arial Narrow"/>
                <w:sz w:val="18"/>
                <w:szCs w:val="18"/>
              </w:rPr>
              <w:t>,</w:t>
            </w:r>
            <w:r w:rsidRPr="00AD151D">
              <w:rPr>
                <w:rFonts w:ascii="Arial Narrow" w:hAnsi="Arial Narrow"/>
                <w:sz w:val="18"/>
                <w:szCs w:val="18"/>
              </w:rPr>
              <w:t>221</w:t>
            </w:r>
          </w:p>
        </w:tc>
        <w:tc>
          <w:tcPr>
            <w:tcW w:w="900" w:type="dxa"/>
            <w:tcBorders>
              <w:top w:val="nil"/>
              <w:left w:val="nil"/>
              <w:bottom w:val="single" w:sz="4" w:space="0" w:color="auto"/>
              <w:right w:val="single" w:sz="4" w:space="0" w:color="auto"/>
            </w:tcBorders>
            <w:shd w:val="clear" w:color="000000" w:fill="66FFCC"/>
            <w:noWrap/>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 </w:t>
            </w:r>
          </w:p>
        </w:tc>
        <w:tc>
          <w:tcPr>
            <w:tcW w:w="810" w:type="dxa"/>
            <w:tcBorders>
              <w:top w:val="nil"/>
              <w:left w:val="nil"/>
              <w:bottom w:val="single" w:sz="4" w:space="0" w:color="auto"/>
              <w:right w:val="single" w:sz="4" w:space="0" w:color="auto"/>
            </w:tcBorders>
            <w:shd w:val="clear" w:color="000000" w:fill="66FFCC"/>
            <w:noWrap/>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1059</w:t>
            </w:r>
          </w:p>
        </w:tc>
        <w:tc>
          <w:tcPr>
            <w:tcW w:w="1350" w:type="dxa"/>
            <w:tcBorders>
              <w:top w:val="nil"/>
              <w:left w:val="nil"/>
              <w:bottom w:val="single" w:sz="4" w:space="0" w:color="auto"/>
              <w:right w:val="single" w:sz="4" w:space="0" w:color="auto"/>
            </w:tcBorders>
            <w:shd w:val="clear" w:color="000000" w:fill="66FFCC"/>
            <w:noWrap/>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339</w:t>
            </w:r>
          </w:p>
        </w:tc>
        <w:tc>
          <w:tcPr>
            <w:tcW w:w="990" w:type="dxa"/>
            <w:tcBorders>
              <w:top w:val="nil"/>
              <w:left w:val="nil"/>
              <w:bottom w:val="single" w:sz="4" w:space="0" w:color="auto"/>
              <w:right w:val="single" w:sz="4" w:space="0" w:color="auto"/>
            </w:tcBorders>
            <w:shd w:val="clear" w:color="000000" w:fill="66FFCC"/>
            <w:noWrap/>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526</w:t>
            </w:r>
          </w:p>
        </w:tc>
        <w:tc>
          <w:tcPr>
            <w:tcW w:w="983" w:type="dxa"/>
            <w:tcBorders>
              <w:top w:val="nil"/>
              <w:left w:val="nil"/>
              <w:bottom w:val="single" w:sz="4" w:space="0" w:color="auto"/>
              <w:right w:val="single" w:sz="4" w:space="0" w:color="auto"/>
            </w:tcBorders>
            <w:shd w:val="clear" w:color="000000" w:fill="66FFCC"/>
            <w:noWrap/>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0</w:t>
            </w:r>
          </w:p>
        </w:tc>
        <w:tc>
          <w:tcPr>
            <w:tcW w:w="1447" w:type="dxa"/>
            <w:tcBorders>
              <w:top w:val="nil"/>
              <w:left w:val="nil"/>
              <w:bottom w:val="single" w:sz="4" w:space="0" w:color="auto"/>
              <w:right w:val="single" w:sz="4" w:space="0" w:color="auto"/>
            </w:tcBorders>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4</w:t>
            </w:r>
            <w:r w:rsidR="004A2ECB">
              <w:rPr>
                <w:rFonts w:ascii="Arial Narrow" w:hAnsi="Arial Narrow"/>
                <w:sz w:val="18"/>
                <w:szCs w:val="18"/>
              </w:rPr>
              <w:t>,</w:t>
            </w:r>
            <w:r w:rsidRPr="00AD151D">
              <w:rPr>
                <w:rFonts w:ascii="Arial Narrow" w:hAnsi="Arial Narrow"/>
                <w:sz w:val="18"/>
                <w:szCs w:val="18"/>
              </w:rPr>
              <w:t>195</w:t>
            </w:r>
          </w:p>
        </w:tc>
        <w:tc>
          <w:tcPr>
            <w:tcW w:w="1710" w:type="dxa"/>
            <w:tcBorders>
              <w:top w:val="nil"/>
              <w:left w:val="nil"/>
              <w:bottom w:val="single" w:sz="4" w:space="0" w:color="auto"/>
              <w:right w:val="single" w:sz="4" w:space="0" w:color="auto"/>
            </w:tcBorders>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120%</w:t>
            </w:r>
          </w:p>
        </w:tc>
      </w:tr>
      <w:tr w:rsidR="00EC35C4" w:rsidRPr="00AD151D" w:rsidTr="00277DC8">
        <w:trPr>
          <w:trHeight w:val="78"/>
        </w:trPr>
        <w:tc>
          <w:tcPr>
            <w:tcW w:w="630" w:type="dxa"/>
            <w:vMerge/>
            <w:tcBorders>
              <w:top w:val="nil"/>
              <w:left w:val="single" w:sz="4" w:space="0" w:color="auto"/>
              <w:bottom w:val="single" w:sz="4" w:space="0" w:color="auto"/>
              <w:right w:val="single" w:sz="4" w:space="0" w:color="auto"/>
            </w:tcBorders>
            <w:vAlign w:val="center"/>
          </w:tcPr>
          <w:p w:rsidR="00AE7D50" w:rsidRPr="00AD151D" w:rsidRDefault="00AE7D50">
            <w:pPr>
              <w:rPr>
                <w:rFonts w:ascii="Arial Narrow" w:hAnsi="Arial Narrow"/>
                <w:b/>
                <w:bCs/>
                <w:sz w:val="18"/>
                <w:szCs w:val="18"/>
              </w:rPr>
            </w:pPr>
          </w:p>
        </w:tc>
        <w:tc>
          <w:tcPr>
            <w:tcW w:w="1170" w:type="dxa"/>
            <w:tcBorders>
              <w:top w:val="nil"/>
              <w:left w:val="nil"/>
              <w:bottom w:val="single" w:sz="4" w:space="0" w:color="auto"/>
              <w:right w:val="single" w:sz="4" w:space="0" w:color="auto"/>
            </w:tcBorders>
            <w:noWrap/>
            <w:vAlign w:val="bottom"/>
          </w:tcPr>
          <w:p w:rsidR="00AE7D50" w:rsidRPr="00AD151D" w:rsidRDefault="00AE7D50">
            <w:pPr>
              <w:jc w:val="center"/>
              <w:rPr>
                <w:rFonts w:ascii="Arial Narrow" w:hAnsi="Arial Narrow"/>
                <w:b/>
                <w:bCs/>
                <w:sz w:val="17"/>
                <w:szCs w:val="17"/>
              </w:rPr>
            </w:pPr>
            <w:r w:rsidRPr="00AD151D">
              <w:rPr>
                <w:rFonts w:ascii="Arial Narrow" w:hAnsi="Arial Narrow"/>
                <w:b/>
                <w:bCs/>
                <w:sz w:val="17"/>
                <w:szCs w:val="17"/>
              </w:rPr>
              <w:t>Total RA capacity</w:t>
            </w:r>
          </w:p>
        </w:tc>
        <w:tc>
          <w:tcPr>
            <w:tcW w:w="900" w:type="dxa"/>
            <w:tcBorders>
              <w:top w:val="nil"/>
              <w:left w:val="nil"/>
              <w:bottom w:val="single" w:sz="4" w:space="0" w:color="auto"/>
              <w:right w:val="single" w:sz="4" w:space="0" w:color="auto"/>
            </w:tcBorders>
            <w:noWrap/>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45</w:t>
            </w:r>
            <w:r w:rsidR="004A2ECB">
              <w:rPr>
                <w:rFonts w:ascii="Arial Narrow" w:hAnsi="Arial Narrow"/>
                <w:b/>
                <w:bCs/>
                <w:sz w:val="18"/>
                <w:szCs w:val="18"/>
              </w:rPr>
              <w:t>,</w:t>
            </w:r>
            <w:r w:rsidRPr="00AD151D">
              <w:rPr>
                <w:rFonts w:ascii="Arial Narrow" w:hAnsi="Arial Narrow"/>
                <w:b/>
                <w:bCs/>
                <w:sz w:val="18"/>
                <w:szCs w:val="18"/>
              </w:rPr>
              <w:t>158</w:t>
            </w:r>
          </w:p>
        </w:tc>
        <w:tc>
          <w:tcPr>
            <w:tcW w:w="1170" w:type="dxa"/>
            <w:tcBorders>
              <w:top w:val="nil"/>
              <w:left w:val="nil"/>
              <w:bottom w:val="single" w:sz="4" w:space="0" w:color="auto"/>
              <w:right w:val="single" w:sz="4" w:space="0" w:color="auto"/>
            </w:tcBorders>
            <w:noWrap/>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51</w:t>
            </w:r>
            <w:r w:rsidR="004A2ECB">
              <w:rPr>
                <w:rFonts w:ascii="Arial Narrow" w:hAnsi="Arial Narrow"/>
                <w:b/>
                <w:bCs/>
                <w:sz w:val="18"/>
                <w:szCs w:val="18"/>
              </w:rPr>
              <w:t>,</w:t>
            </w:r>
            <w:r w:rsidRPr="00AD151D">
              <w:rPr>
                <w:rFonts w:ascii="Arial Narrow" w:hAnsi="Arial Narrow"/>
                <w:b/>
                <w:bCs/>
                <w:sz w:val="18"/>
                <w:szCs w:val="18"/>
              </w:rPr>
              <w:t>406</w:t>
            </w:r>
          </w:p>
        </w:tc>
        <w:tc>
          <w:tcPr>
            <w:tcW w:w="1260" w:type="dxa"/>
            <w:tcBorders>
              <w:top w:val="nil"/>
              <w:left w:val="nil"/>
              <w:bottom w:val="single" w:sz="4" w:space="0" w:color="auto"/>
              <w:right w:val="single" w:sz="4" w:space="0" w:color="auto"/>
            </w:tcBorders>
            <w:noWrap/>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41</w:t>
            </w:r>
            <w:r w:rsidR="004A2ECB">
              <w:rPr>
                <w:rFonts w:ascii="Arial Narrow" w:hAnsi="Arial Narrow"/>
                <w:b/>
                <w:bCs/>
                <w:sz w:val="18"/>
                <w:szCs w:val="18"/>
              </w:rPr>
              <w:t>,</w:t>
            </w:r>
            <w:r w:rsidRPr="00AD151D">
              <w:rPr>
                <w:rFonts w:ascii="Arial Narrow" w:hAnsi="Arial Narrow"/>
                <w:b/>
                <w:bCs/>
                <w:sz w:val="18"/>
                <w:szCs w:val="18"/>
              </w:rPr>
              <w:t>123</w:t>
            </w:r>
          </w:p>
        </w:tc>
        <w:tc>
          <w:tcPr>
            <w:tcW w:w="900" w:type="dxa"/>
            <w:tcBorders>
              <w:top w:val="nil"/>
              <w:left w:val="nil"/>
              <w:bottom w:val="single" w:sz="4" w:space="0" w:color="auto"/>
              <w:right w:val="single" w:sz="4" w:space="0" w:color="auto"/>
            </w:tcBorders>
            <w:noWrap/>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1</w:t>
            </w:r>
            <w:r w:rsidR="004A2ECB">
              <w:rPr>
                <w:rFonts w:ascii="Arial Narrow" w:hAnsi="Arial Narrow"/>
                <w:b/>
                <w:bCs/>
                <w:sz w:val="18"/>
                <w:szCs w:val="18"/>
              </w:rPr>
              <w:t>,</w:t>
            </w:r>
            <w:r w:rsidRPr="00AD151D">
              <w:rPr>
                <w:rFonts w:ascii="Arial Narrow" w:hAnsi="Arial Narrow"/>
                <w:b/>
                <w:bCs/>
                <w:sz w:val="18"/>
                <w:szCs w:val="18"/>
              </w:rPr>
              <w:t>395</w:t>
            </w:r>
          </w:p>
        </w:tc>
        <w:tc>
          <w:tcPr>
            <w:tcW w:w="810" w:type="dxa"/>
            <w:tcBorders>
              <w:top w:val="nil"/>
              <w:left w:val="nil"/>
              <w:bottom w:val="single" w:sz="4" w:space="0" w:color="auto"/>
              <w:right w:val="single" w:sz="4" w:space="0" w:color="auto"/>
            </w:tcBorders>
            <w:noWrap/>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5</w:t>
            </w:r>
            <w:r w:rsidR="004A2ECB">
              <w:rPr>
                <w:rFonts w:ascii="Arial Narrow" w:hAnsi="Arial Narrow"/>
                <w:b/>
                <w:bCs/>
                <w:sz w:val="18"/>
                <w:szCs w:val="18"/>
              </w:rPr>
              <w:t>,</w:t>
            </w:r>
            <w:r w:rsidRPr="00AD151D">
              <w:rPr>
                <w:rFonts w:ascii="Arial Narrow" w:hAnsi="Arial Narrow"/>
                <w:b/>
                <w:bCs/>
                <w:sz w:val="18"/>
                <w:szCs w:val="18"/>
              </w:rPr>
              <w:t>548</w:t>
            </w:r>
          </w:p>
        </w:tc>
        <w:tc>
          <w:tcPr>
            <w:tcW w:w="1350" w:type="dxa"/>
            <w:tcBorders>
              <w:top w:val="nil"/>
              <w:left w:val="nil"/>
              <w:bottom w:val="single" w:sz="4" w:space="0" w:color="auto"/>
              <w:right w:val="single" w:sz="4" w:space="0" w:color="auto"/>
            </w:tcBorders>
            <w:noWrap/>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2</w:t>
            </w:r>
            <w:r w:rsidR="004A2ECB">
              <w:rPr>
                <w:rFonts w:ascii="Arial Narrow" w:hAnsi="Arial Narrow"/>
                <w:b/>
                <w:bCs/>
                <w:sz w:val="18"/>
                <w:szCs w:val="18"/>
              </w:rPr>
              <w:t>,</w:t>
            </w:r>
            <w:r w:rsidRPr="00AD151D">
              <w:rPr>
                <w:rFonts w:ascii="Arial Narrow" w:hAnsi="Arial Narrow"/>
                <w:b/>
                <w:bCs/>
                <w:sz w:val="18"/>
                <w:szCs w:val="18"/>
              </w:rPr>
              <w:t>958</w:t>
            </w:r>
          </w:p>
        </w:tc>
        <w:tc>
          <w:tcPr>
            <w:tcW w:w="990" w:type="dxa"/>
            <w:tcBorders>
              <w:top w:val="nil"/>
              <w:left w:val="nil"/>
              <w:bottom w:val="single" w:sz="4" w:space="0" w:color="auto"/>
              <w:right w:val="single" w:sz="4" w:space="0" w:color="auto"/>
            </w:tcBorders>
            <w:noWrap/>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526</w:t>
            </w:r>
          </w:p>
        </w:tc>
        <w:tc>
          <w:tcPr>
            <w:tcW w:w="983" w:type="dxa"/>
            <w:tcBorders>
              <w:top w:val="nil"/>
              <w:left w:val="nil"/>
              <w:bottom w:val="single" w:sz="4" w:space="0" w:color="auto"/>
              <w:right w:val="single" w:sz="4" w:space="0" w:color="auto"/>
            </w:tcBorders>
            <w:noWrap/>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1</w:t>
            </w:r>
            <w:r w:rsidR="004A2ECB">
              <w:rPr>
                <w:rFonts w:ascii="Arial Narrow" w:hAnsi="Arial Narrow"/>
                <w:b/>
                <w:bCs/>
                <w:sz w:val="18"/>
                <w:szCs w:val="18"/>
              </w:rPr>
              <w:t>,</w:t>
            </w:r>
            <w:r w:rsidRPr="00AD151D">
              <w:rPr>
                <w:rFonts w:ascii="Arial Narrow" w:hAnsi="Arial Narrow"/>
                <w:b/>
                <w:bCs/>
                <w:sz w:val="18"/>
                <w:szCs w:val="18"/>
              </w:rPr>
              <w:t>085</w:t>
            </w:r>
          </w:p>
        </w:tc>
        <w:tc>
          <w:tcPr>
            <w:tcW w:w="1447" w:type="dxa"/>
            <w:tcBorders>
              <w:top w:val="nil"/>
              <w:left w:val="nil"/>
              <w:bottom w:val="single" w:sz="4" w:space="0" w:color="auto"/>
              <w:right w:val="single" w:sz="4" w:space="0" w:color="auto"/>
            </w:tcBorders>
            <w:vAlign w:val="center"/>
          </w:tcPr>
          <w:p w:rsidR="00AE7D50" w:rsidRPr="00AD151D" w:rsidRDefault="00AE7D50">
            <w:pPr>
              <w:jc w:val="center"/>
              <w:rPr>
                <w:rFonts w:ascii="Arial Narrow" w:hAnsi="Arial Narrow"/>
                <w:sz w:val="18"/>
                <w:szCs w:val="18"/>
              </w:rPr>
            </w:pPr>
            <w:r w:rsidRPr="00AD151D">
              <w:rPr>
                <w:rFonts w:ascii="Arial Narrow" w:hAnsi="Arial Narrow"/>
                <w:sz w:val="18"/>
                <w:szCs w:val="18"/>
              </w:rPr>
              <w:t>53</w:t>
            </w:r>
            <w:r w:rsidR="004A2ECB">
              <w:rPr>
                <w:rFonts w:ascii="Arial Narrow" w:hAnsi="Arial Narrow"/>
                <w:sz w:val="18"/>
                <w:szCs w:val="18"/>
              </w:rPr>
              <w:t>,</w:t>
            </w:r>
            <w:r w:rsidRPr="00AD151D">
              <w:rPr>
                <w:rFonts w:ascii="Arial Narrow" w:hAnsi="Arial Narrow"/>
                <w:sz w:val="18"/>
                <w:szCs w:val="18"/>
              </w:rPr>
              <w:t>079</w:t>
            </w:r>
          </w:p>
        </w:tc>
        <w:tc>
          <w:tcPr>
            <w:tcW w:w="1710" w:type="dxa"/>
            <w:tcBorders>
              <w:top w:val="nil"/>
              <w:left w:val="nil"/>
              <w:bottom w:val="single" w:sz="4" w:space="0" w:color="auto"/>
              <w:right w:val="single" w:sz="4" w:space="0" w:color="auto"/>
            </w:tcBorders>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103%</w:t>
            </w:r>
          </w:p>
        </w:tc>
      </w:tr>
      <w:tr w:rsidR="00EC35C4" w:rsidRPr="00AD151D" w:rsidTr="00277DC8">
        <w:trPr>
          <w:trHeight w:val="81"/>
        </w:trPr>
        <w:tc>
          <w:tcPr>
            <w:tcW w:w="630" w:type="dxa"/>
            <w:vMerge/>
            <w:tcBorders>
              <w:top w:val="nil"/>
              <w:left w:val="single" w:sz="4" w:space="0" w:color="auto"/>
              <w:bottom w:val="single" w:sz="4" w:space="0" w:color="auto"/>
              <w:right w:val="single" w:sz="4" w:space="0" w:color="auto"/>
            </w:tcBorders>
            <w:vAlign w:val="center"/>
          </w:tcPr>
          <w:p w:rsidR="00AE7D50" w:rsidRPr="00AD151D" w:rsidRDefault="00AE7D50">
            <w:pPr>
              <w:rPr>
                <w:rFonts w:ascii="Arial Narrow" w:hAnsi="Arial Narrow"/>
                <w:b/>
                <w:bCs/>
                <w:sz w:val="18"/>
                <w:szCs w:val="18"/>
              </w:rPr>
            </w:pPr>
          </w:p>
        </w:tc>
        <w:tc>
          <w:tcPr>
            <w:tcW w:w="1170" w:type="dxa"/>
            <w:tcBorders>
              <w:top w:val="nil"/>
              <w:left w:val="nil"/>
              <w:bottom w:val="single" w:sz="8" w:space="0" w:color="auto"/>
              <w:right w:val="single" w:sz="4" w:space="0" w:color="auto"/>
            </w:tcBorders>
            <w:noWrap/>
          </w:tcPr>
          <w:p w:rsidR="00AE7D50" w:rsidRPr="00AD151D" w:rsidRDefault="00AE7D50">
            <w:pPr>
              <w:jc w:val="center"/>
              <w:rPr>
                <w:rFonts w:ascii="Arial Narrow" w:hAnsi="Arial Narrow"/>
                <w:b/>
                <w:bCs/>
                <w:sz w:val="17"/>
                <w:szCs w:val="17"/>
              </w:rPr>
            </w:pPr>
            <w:r w:rsidRPr="00AD151D">
              <w:rPr>
                <w:rFonts w:ascii="Arial Narrow" w:hAnsi="Arial Narrow"/>
                <w:b/>
                <w:bCs/>
                <w:sz w:val="17"/>
                <w:szCs w:val="17"/>
              </w:rPr>
              <w:t>% of Capacity</w:t>
            </w:r>
          </w:p>
        </w:tc>
        <w:tc>
          <w:tcPr>
            <w:tcW w:w="900" w:type="dxa"/>
            <w:tcBorders>
              <w:top w:val="nil"/>
              <w:left w:val="nil"/>
              <w:bottom w:val="single" w:sz="8" w:space="0" w:color="auto"/>
              <w:right w:val="single" w:sz="4" w:space="0" w:color="auto"/>
            </w:tcBorders>
            <w:noWrap/>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 </w:t>
            </w:r>
          </w:p>
        </w:tc>
        <w:tc>
          <w:tcPr>
            <w:tcW w:w="1170" w:type="dxa"/>
            <w:tcBorders>
              <w:top w:val="nil"/>
              <w:left w:val="nil"/>
              <w:bottom w:val="single" w:sz="8" w:space="0" w:color="auto"/>
              <w:right w:val="single" w:sz="4" w:space="0" w:color="auto"/>
            </w:tcBorders>
            <w:noWrap/>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 </w:t>
            </w:r>
          </w:p>
        </w:tc>
        <w:tc>
          <w:tcPr>
            <w:tcW w:w="1260" w:type="dxa"/>
            <w:tcBorders>
              <w:top w:val="nil"/>
              <w:left w:val="nil"/>
              <w:bottom w:val="single" w:sz="8" w:space="0" w:color="auto"/>
              <w:right w:val="single" w:sz="4" w:space="0" w:color="auto"/>
            </w:tcBorders>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77%</w:t>
            </w:r>
          </w:p>
        </w:tc>
        <w:tc>
          <w:tcPr>
            <w:tcW w:w="900" w:type="dxa"/>
            <w:tcBorders>
              <w:top w:val="nil"/>
              <w:left w:val="nil"/>
              <w:bottom w:val="single" w:sz="8" w:space="0" w:color="auto"/>
              <w:right w:val="single" w:sz="4" w:space="0" w:color="auto"/>
            </w:tcBorders>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3%</w:t>
            </w:r>
          </w:p>
        </w:tc>
        <w:tc>
          <w:tcPr>
            <w:tcW w:w="810" w:type="dxa"/>
            <w:tcBorders>
              <w:top w:val="nil"/>
              <w:left w:val="nil"/>
              <w:bottom w:val="single" w:sz="8" w:space="0" w:color="auto"/>
              <w:right w:val="single" w:sz="4" w:space="0" w:color="auto"/>
            </w:tcBorders>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10%</w:t>
            </w:r>
          </w:p>
        </w:tc>
        <w:tc>
          <w:tcPr>
            <w:tcW w:w="1350" w:type="dxa"/>
            <w:tcBorders>
              <w:top w:val="nil"/>
              <w:left w:val="nil"/>
              <w:bottom w:val="single" w:sz="8" w:space="0" w:color="auto"/>
              <w:right w:val="single" w:sz="4" w:space="0" w:color="auto"/>
            </w:tcBorders>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6%</w:t>
            </w:r>
          </w:p>
        </w:tc>
        <w:tc>
          <w:tcPr>
            <w:tcW w:w="990" w:type="dxa"/>
            <w:tcBorders>
              <w:top w:val="nil"/>
              <w:left w:val="nil"/>
              <w:bottom w:val="single" w:sz="8" w:space="0" w:color="auto"/>
              <w:right w:val="single" w:sz="4" w:space="0" w:color="auto"/>
            </w:tcBorders>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1%</w:t>
            </w:r>
          </w:p>
        </w:tc>
        <w:tc>
          <w:tcPr>
            <w:tcW w:w="983" w:type="dxa"/>
            <w:tcBorders>
              <w:top w:val="nil"/>
              <w:left w:val="nil"/>
              <w:bottom w:val="single" w:sz="8" w:space="0" w:color="auto"/>
              <w:right w:val="single" w:sz="4" w:space="0" w:color="auto"/>
            </w:tcBorders>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2%</w:t>
            </w:r>
          </w:p>
        </w:tc>
        <w:tc>
          <w:tcPr>
            <w:tcW w:w="1447" w:type="dxa"/>
            <w:tcBorders>
              <w:top w:val="nil"/>
              <w:left w:val="nil"/>
              <w:bottom w:val="single" w:sz="8" w:space="0" w:color="auto"/>
              <w:right w:val="single" w:sz="4" w:space="0" w:color="auto"/>
            </w:tcBorders>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100%</w:t>
            </w:r>
          </w:p>
        </w:tc>
        <w:tc>
          <w:tcPr>
            <w:tcW w:w="1710" w:type="dxa"/>
            <w:tcBorders>
              <w:top w:val="nil"/>
              <w:left w:val="nil"/>
              <w:bottom w:val="single" w:sz="8" w:space="0" w:color="auto"/>
              <w:right w:val="single" w:sz="4" w:space="0" w:color="auto"/>
            </w:tcBorders>
            <w:vAlign w:val="center"/>
          </w:tcPr>
          <w:p w:rsidR="00AE7D50" w:rsidRPr="00AD151D" w:rsidRDefault="00AE7D50">
            <w:pPr>
              <w:jc w:val="center"/>
              <w:rPr>
                <w:rFonts w:ascii="Arial Narrow" w:hAnsi="Arial Narrow"/>
                <w:b/>
                <w:bCs/>
                <w:sz w:val="18"/>
                <w:szCs w:val="18"/>
              </w:rPr>
            </w:pPr>
            <w:r w:rsidRPr="00AD151D">
              <w:rPr>
                <w:rFonts w:ascii="Arial Narrow" w:hAnsi="Arial Narrow"/>
                <w:b/>
                <w:bCs/>
                <w:sz w:val="18"/>
                <w:szCs w:val="18"/>
              </w:rPr>
              <w:t> </w:t>
            </w:r>
          </w:p>
        </w:tc>
      </w:tr>
    </w:tbl>
    <w:p w:rsidR="004A2ECB" w:rsidRDefault="00AE7D50" w:rsidP="009B4E2A">
      <w:pPr>
        <w:keepNext/>
        <w:keepLines/>
        <w:spacing w:before="120"/>
        <w:rPr>
          <w:sz w:val="20"/>
          <w:szCs w:val="20"/>
        </w:rPr>
      </w:pPr>
      <w:r w:rsidRPr="00AD151D">
        <w:rPr>
          <w:sz w:val="20"/>
          <w:szCs w:val="20"/>
        </w:rPr>
        <w:t>Source: Aggregated RA data collected by CPUC along with</w:t>
      </w:r>
      <w:r w:rsidR="00997EC4">
        <w:rPr>
          <w:sz w:val="20"/>
          <w:szCs w:val="20"/>
        </w:rPr>
        <w:t xml:space="preserve"> Non-CPUC jurisdictional data from CAISO</w:t>
      </w:r>
    </w:p>
    <w:p w:rsidR="004A2ECB" w:rsidRDefault="004A2ECB">
      <w:pPr>
        <w:rPr>
          <w:sz w:val="20"/>
          <w:szCs w:val="20"/>
        </w:rPr>
      </w:pPr>
      <w:r>
        <w:rPr>
          <w:sz w:val="20"/>
          <w:szCs w:val="20"/>
        </w:rPr>
        <w:br w:type="page"/>
      </w:r>
    </w:p>
    <w:p w:rsidR="004B2D02" w:rsidRPr="00277DC8" w:rsidRDefault="004A2ECB" w:rsidP="00FE3F7D">
      <w:pPr>
        <w:pStyle w:val="Heading1"/>
        <w:numPr>
          <w:ilvl w:val="0"/>
          <w:numId w:val="18"/>
        </w:numPr>
        <w:rPr>
          <w:sz w:val="28"/>
          <w:szCs w:val="28"/>
        </w:rPr>
      </w:pPr>
      <w:bookmarkStart w:id="153" w:name="_Toc347827070"/>
      <w:r w:rsidRPr="00277DC8">
        <w:rPr>
          <w:sz w:val="28"/>
          <w:szCs w:val="28"/>
        </w:rPr>
        <w:lastRenderedPageBreak/>
        <w:t>Appendix 2</w:t>
      </w:r>
      <w:bookmarkEnd w:id="153"/>
      <w:r w:rsidR="004B2D02" w:rsidRPr="00277DC8">
        <w:rPr>
          <w:sz w:val="28"/>
          <w:szCs w:val="28"/>
        </w:rPr>
        <w:t xml:space="preserve"> </w:t>
      </w:r>
    </w:p>
    <w:p w:rsidR="004A2ECB" w:rsidRPr="004B2D02" w:rsidRDefault="004A2ECB" w:rsidP="00FE3F7D">
      <w:pPr>
        <w:pStyle w:val="Caption"/>
      </w:pPr>
      <w:bookmarkStart w:id="154" w:name="_Toc347827089"/>
      <w:r w:rsidRPr="004B2D02">
        <w:t xml:space="preserve">Table </w:t>
      </w:r>
      <w:r w:rsidRPr="004B2D02">
        <w:fldChar w:fldCharType="begin"/>
      </w:r>
      <w:r w:rsidRPr="00FE3F7D">
        <w:instrText xml:space="preserve"> SEQ Table \* ARABIC </w:instrText>
      </w:r>
      <w:r w:rsidRPr="004B2D02">
        <w:fldChar w:fldCharType="separate"/>
      </w:r>
      <w:r w:rsidR="00B3535E">
        <w:rPr>
          <w:noProof/>
        </w:rPr>
        <w:t>19</w:t>
      </w:r>
      <w:r w:rsidRPr="004B2D02">
        <w:fldChar w:fldCharType="end"/>
      </w:r>
      <w:r w:rsidRPr="004B2D02">
        <w:t xml:space="preserve"> ExD by reason and by month</w:t>
      </w:r>
      <w:r w:rsidR="00AB7C54">
        <w:t xml:space="preserve"> (MWh)</w:t>
      </w:r>
      <w:bookmarkEnd w:id="154"/>
    </w:p>
    <w:tbl>
      <w:tblPr>
        <w:tblW w:w="12944" w:type="dxa"/>
        <w:tblLayout w:type="fixed"/>
        <w:tblCellMar>
          <w:left w:w="58" w:type="dxa"/>
          <w:right w:w="58" w:type="dxa"/>
        </w:tblCellMar>
        <w:tblLook w:val="0000" w:firstRow="0" w:lastRow="0" w:firstColumn="0" w:lastColumn="0" w:noHBand="0" w:noVBand="0"/>
      </w:tblPr>
      <w:tblGrid>
        <w:gridCol w:w="2128"/>
        <w:gridCol w:w="990"/>
        <w:gridCol w:w="810"/>
        <w:gridCol w:w="810"/>
        <w:gridCol w:w="810"/>
        <w:gridCol w:w="900"/>
        <w:gridCol w:w="720"/>
        <w:gridCol w:w="810"/>
        <w:gridCol w:w="900"/>
        <w:gridCol w:w="900"/>
        <w:gridCol w:w="720"/>
        <w:gridCol w:w="720"/>
        <w:gridCol w:w="888"/>
        <w:gridCol w:w="838"/>
      </w:tblGrid>
      <w:tr w:rsidR="00AB7C54" w:rsidRPr="00FE3F7D" w:rsidTr="00277DC8">
        <w:trPr>
          <w:trHeight w:val="183"/>
        </w:trPr>
        <w:tc>
          <w:tcPr>
            <w:tcW w:w="2128"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p>
        </w:tc>
        <w:tc>
          <w:tcPr>
            <w:tcW w:w="990" w:type="dxa"/>
            <w:tcBorders>
              <w:top w:val="single" w:sz="6" w:space="0" w:color="auto"/>
              <w:left w:val="single" w:sz="6" w:space="0" w:color="auto"/>
              <w:bottom w:val="single" w:sz="6" w:space="0" w:color="auto"/>
              <w:right w:val="single" w:sz="6" w:space="0" w:color="auto"/>
            </w:tcBorders>
          </w:tcPr>
          <w:p w:rsidR="004A2ECB" w:rsidRPr="00FE3F7D" w:rsidRDefault="004A2ECB" w:rsidP="00AB7C54">
            <w:pPr>
              <w:autoSpaceDE w:val="0"/>
              <w:autoSpaceDN w:val="0"/>
              <w:adjustRightInd w:val="0"/>
              <w:rPr>
                <w:color w:val="000000"/>
                <w:sz w:val="18"/>
                <w:szCs w:val="18"/>
              </w:rPr>
            </w:pPr>
            <w:r w:rsidRPr="00FE3F7D">
              <w:rPr>
                <w:color w:val="000000"/>
                <w:sz w:val="18"/>
                <w:szCs w:val="18"/>
              </w:rPr>
              <w:t xml:space="preserve">2011 Total </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Jan-11</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Feb-11</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Mar-11</w:t>
            </w:r>
          </w:p>
        </w:tc>
        <w:tc>
          <w:tcPr>
            <w:tcW w:w="90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Apr-11</w:t>
            </w:r>
          </w:p>
        </w:tc>
        <w:tc>
          <w:tcPr>
            <w:tcW w:w="72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May-11</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Jun-11</w:t>
            </w:r>
          </w:p>
        </w:tc>
        <w:tc>
          <w:tcPr>
            <w:tcW w:w="90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Jul-11</w:t>
            </w:r>
          </w:p>
        </w:tc>
        <w:tc>
          <w:tcPr>
            <w:tcW w:w="90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Aug-11</w:t>
            </w:r>
          </w:p>
        </w:tc>
        <w:tc>
          <w:tcPr>
            <w:tcW w:w="72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Sep-11</w:t>
            </w:r>
          </w:p>
        </w:tc>
        <w:tc>
          <w:tcPr>
            <w:tcW w:w="72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Oct-11</w:t>
            </w:r>
          </w:p>
        </w:tc>
        <w:tc>
          <w:tcPr>
            <w:tcW w:w="888"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Nov-11</w:t>
            </w:r>
          </w:p>
        </w:tc>
        <w:tc>
          <w:tcPr>
            <w:tcW w:w="838"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Dec-11</w:t>
            </w:r>
          </w:p>
        </w:tc>
      </w:tr>
      <w:tr w:rsidR="00AB7C54" w:rsidRPr="00FE3F7D" w:rsidTr="00277DC8">
        <w:trPr>
          <w:trHeight w:val="290"/>
        </w:trPr>
        <w:tc>
          <w:tcPr>
            <w:tcW w:w="2128"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rPr>
                <w:color w:val="000000"/>
                <w:sz w:val="18"/>
                <w:szCs w:val="18"/>
              </w:rPr>
            </w:pPr>
            <w:r w:rsidRPr="00FE3F7D">
              <w:rPr>
                <w:color w:val="000000"/>
                <w:sz w:val="18"/>
                <w:szCs w:val="18"/>
              </w:rPr>
              <w:t>Dispatchability</w:t>
            </w:r>
          </w:p>
        </w:tc>
        <w:tc>
          <w:tcPr>
            <w:tcW w:w="99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215973</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19544</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21574</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13112</w:t>
            </w:r>
          </w:p>
        </w:tc>
        <w:tc>
          <w:tcPr>
            <w:tcW w:w="90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16044</w:t>
            </w:r>
          </w:p>
        </w:tc>
        <w:tc>
          <w:tcPr>
            <w:tcW w:w="72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649</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34785</w:t>
            </w:r>
          </w:p>
        </w:tc>
        <w:tc>
          <w:tcPr>
            <w:tcW w:w="90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22400</w:t>
            </w:r>
          </w:p>
        </w:tc>
        <w:tc>
          <w:tcPr>
            <w:tcW w:w="90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12449</w:t>
            </w:r>
          </w:p>
        </w:tc>
        <w:tc>
          <w:tcPr>
            <w:tcW w:w="72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40488</w:t>
            </w:r>
          </w:p>
        </w:tc>
        <w:tc>
          <w:tcPr>
            <w:tcW w:w="72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13350</w:t>
            </w:r>
          </w:p>
        </w:tc>
        <w:tc>
          <w:tcPr>
            <w:tcW w:w="888"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15471</w:t>
            </w:r>
          </w:p>
        </w:tc>
        <w:tc>
          <w:tcPr>
            <w:tcW w:w="838"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6107</w:t>
            </w:r>
          </w:p>
        </w:tc>
      </w:tr>
      <w:tr w:rsidR="00AB7C54" w:rsidRPr="00FE3F7D" w:rsidTr="00277DC8">
        <w:trPr>
          <w:trHeight w:val="290"/>
        </w:trPr>
        <w:tc>
          <w:tcPr>
            <w:tcW w:w="2128"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rPr>
                <w:color w:val="000000"/>
                <w:sz w:val="18"/>
                <w:szCs w:val="18"/>
              </w:rPr>
            </w:pPr>
            <w:r w:rsidRPr="00FE3F7D">
              <w:rPr>
                <w:color w:val="000000"/>
                <w:sz w:val="18"/>
                <w:szCs w:val="18"/>
              </w:rPr>
              <w:t>Forecast Uncertainty</w:t>
            </w:r>
          </w:p>
        </w:tc>
        <w:tc>
          <w:tcPr>
            <w:tcW w:w="99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10360</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0</w:t>
            </w:r>
          </w:p>
        </w:tc>
        <w:tc>
          <w:tcPr>
            <w:tcW w:w="90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1127</w:t>
            </w:r>
          </w:p>
        </w:tc>
        <w:tc>
          <w:tcPr>
            <w:tcW w:w="72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1673</w:t>
            </w:r>
          </w:p>
        </w:tc>
        <w:tc>
          <w:tcPr>
            <w:tcW w:w="90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1057</w:t>
            </w:r>
          </w:p>
        </w:tc>
        <w:tc>
          <w:tcPr>
            <w:tcW w:w="90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6488</w:t>
            </w:r>
          </w:p>
        </w:tc>
        <w:tc>
          <w:tcPr>
            <w:tcW w:w="72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14</w:t>
            </w:r>
          </w:p>
        </w:tc>
        <w:tc>
          <w:tcPr>
            <w:tcW w:w="888"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0</w:t>
            </w:r>
          </w:p>
        </w:tc>
        <w:tc>
          <w:tcPr>
            <w:tcW w:w="838"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0</w:t>
            </w:r>
          </w:p>
        </w:tc>
      </w:tr>
      <w:tr w:rsidR="00AB7C54" w:rsidRPr="00FE3F7D" w:rsidTr="00277DC8">
        <w:trPr>
          <w:trHeight w:val="290"/>
        </w:trPr>
        <w:tc>
          <w:tcPr>
            <w:tcW w:w="2128"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rPr>
                <w:color w:val="000000"/>
                <w:sz w:val="18"/>
                <w:szCs w:val="18"/>
              </w:rPr>
            </w:pPr>
            <w:r w:rsidRPr="00FE3F7D">
              <w:rPr>
                <w:color w:val="000000"/>
                <w:sz w:val="18"/>
                <w:szCs w:val="18"/>
              </w:rPr>
              <w:t>Generation procedure</w:t>
            </w:r>
          </w:p>
        </w:tc>
        <w:tc>
          <w:tcPr>
            <w:tcW w:w="99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59275</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187</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1671</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22543</w:t>
            </w:r>
          </w:p>
        </w:tc>
        <w:tc>
          <w:tcPr>
            <w:tcW w:w="90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4941</w:t>
            </w:r>
          </w:p>
        </w:tc>
        <w:tc>
          <w:tcPr>
            <w:tcW w:w="72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599</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436</w:t>
            </w:r>
          </w:p>
        </w:tc>
        <w:tc>
          <w:tcPr>
            <w:tcW w:w="90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695</w:t>
            </w:r>
          </w:p>
        </w:tc>
        <w:tc>
          <w:tcPr>
            <w:tcW w:w="90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11415</w:t>
            </w:r>
          </w:p>
        </w:tc>
        <w:tc>
          <w:tcPr>
            <w:tcW w:w="72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1995</w:t>
            </w:r>
          </w:p>
        </w:tc>
        <w:tc>
          <w:tcPr>
            <w:tcW w:w="888"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11237</w:t>
            </w:r>
          </w:p>
        </w:tc>
        <w:tc>
          <w:tcPr>
            <w:tcW w:w="838"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3557</w:t>
            </w:r>
          </w:p>
        </w:tc>
      </w:tr>
      <w:tr w:rsidR="00AB7C54" w:rsidRPr="00FE3F7D" w:rsidTr="00277DC8">
        <w:trPr>
          <w:trHeight w:val="426"/>
        </w:trPr>
        <w:tc>
          <w:tcPr>
            <w:tcW w:w="2128"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rPr>
                <w:color w:val="000000"/>
                <w:sz w:val="18"/>
                <w:szCs w:val="18"/>
              </w:rPr>
            </w:pPr>
            <w:r w:rsidRPr="00FE3F7D">
              <w:rPr>
                <w:color w:val="000000"/>
                <w:sz w:val="18"/>
                <w:szCs w:val="18"/>
              </w:rPr>
              <w:t>Generation/ Transmission Outage</w:t>
            </w:r>
          </w:p>
        </w:tc>
        <w:tc>
          <w:tcPr>
            <w:tcW w:w="99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268603</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8934</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34668</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53016</w:t>
            </w:r>
          </w:p>
        </w:tc>
        <w:tc>
          <w:tcPr>
            <w:tcW w:w="90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33235</w:t>
            </w:r>
          </w:p>
        </w:tc>
        <w:tc>
          <w:tcPr>
            <w:tcW w:w="72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8109</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7752</w:t>
            </w:r>
          </w:p>
        </w:tc>
        <w:tc>
          <w:tcPr>
            <w:tcW w:w="90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10478</w:t>
            </w:r>
          </w:p>
        </w:tc>
        <w:tc>
          <w:tcPr>
            <w:tcW w:w="90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3391</w:t>
            </w:r>
          </w:p>
        </w:tc>
        <w:tc>
          <w:tcPr>
            <w:tcW w:w="72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42643</w:t>
            </w:r>
          </w:p>
        </w:tc>
        <w:tc>
          <w:tcPr>
            <w:tcW w:w="72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39359</w:t>
            </w:r>
          </w:p>
        </w:tc>
        <w:tc>
          <w:tcPr>
            <w:tcW w:w="888"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21340</w:t>
            </w:r>
          </w:p>
        </w:tc>
        <w:tc>
          <w:tcPr>
            <w:tcW w:w="838"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5677</w:t>
            </w:r>
          </w:p>
        </w:tc>
      </w:tr>
      <w:tr w:rsidR="00AB7C54" w:rsidRPr="00FE3F7D" w:rsidTr="00277DC8">
        <w:trPr>
          <w:trHeight w:val="290"/>
        </w:trPr>
        <w:tc>
          <w:tcPr>
            <w:tcW w:w="2128"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rPr>
                <w:color w:val="000000"/>
                <w:sz w:val="18"/>
                <w:szCs w:val="18"/>
              </w:rPr>
            </w:pPr>
            <w:r w:rsidRPr="00FE3F7D">
              <w:rPr>
                <w:color w:val="000000"/>
                <w:sz w:val="18"/>
                <w:szCs w:val="18"/>
              </w:rPr>
              <w:t>Software Limitation</w:t>
            </w:r>
          </w:p>
        </w:tc>
        <w:tc>
          <w:tcPr>
            <w:tcW w:w="99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135986</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22538</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13251</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16128</w:t>
            </w:r>
          </w:p>
        </w:tc>
        <w:tc>
          <w:tcPr>
            <w:tcW w:w="90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4195</w:t>
            </w:r>
          </w:p>
        </w:tc>
        <w:tc>
          <w:tcPr>
            <w:tcW w:w="72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3403</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14233</w:t>
            </w:r>
          </w:p>
        </w:tc>
        <w:tc>
          <w:tcPr>
            <w:tcW w:w="90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10865</w:t>
            </w:r>
          </w:p>
        </w:tc>
        <w:tc>
          <w:tcPr>
            <w:tcW w:w="90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6284</w:t>
            </w:r>
          </w:p>
        </w:tc>
        <w:tc>
          <w:tcPr>
            <w:tcW w:w="72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17923</w:t>
            </w:r>
          </w:p>
        </w:tc>
        <w:tc>
          <w:tcPr>
            <w:tcW w:w="72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17502</w:t>
            </w:r>
          </w:p>
        </w:tc>
        <w:tc>
          <w:tcPr>
            <w:tcW w:w="888"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6139</w:t>
            </w:r>
          </w:p>
        </w:tc>
        <w:tc>
          <w:tcPr>
            <w:tcW w:w="838"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3524</w:t>
            </w:r>
          </w:p>
        </w:tc>
      </w:tr>
      <w:tr w:rsidR="00AB7C54" w:rsidRPr="00FE3F7D" w:rsidTr="00277DC8">
        <w:trPr>
          <w:trHeight w:val="290"/>
        </w:trPr>
        <w:tc>
          <w:tcPr>
            <w:tcW w:w="2128"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rPr>
                <w:color w:val="000000"/>
                <w:sz w:val="18"/>
                <w:szCs w:val="18"/>
              </w:rPr>
            </w:pPr>
            <w:r w:rsidRPr="00FE3F7D">
              <w:rPr>
                <w:color w:val="000000"/>
                <w:sz w:val="18"/>
                <w:szCs w:val="18"/>
              </w:rPr>
              <w:t>System Reliability</w:t>
            </w:r>
          </w:p>
        </w:tc>
        <w:tc>
          <w:tcPr>
            <w:tcW w:w="99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197495</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6283</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12990</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23649</w:t>
            </w:r>
          </w:p>
        </w:tc>
        <w:tc>
          <w:tcPr>
            <w:tcW w:w="90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9546</w:t>
            </w:r>
          </w:p>
        </w:tc>
        <w:tc>
          <w:tcPr>
            <w:tcW w:w="72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8594</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25701</w:t>
            </w:r>
          </w:p>
        </w:tc>
        <w:tc>
          <w:tcPr>
            <w:tcW w:w="90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55442</w:t>
            </w:r>
          </w:p>
        </w:tc>
        <w:tc>
          <w:tcPr>
            <w:tcW w:w="90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3502</w:t>
            </w:r>
          </w:p>
        </w:tc>
        <w:tc>
          <w:tcPr>
            <w:tcW w:w="72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50521</w:t>
            </w:r>
          </w:p>
        </w:tc>
        <w:tc>
          <w:tcPr>
            <w:tcW w:w="72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164</w:t>
            </w:r>
          </w:p>
        </w:tc>
        <w:tc>
          <w:tcPr>
            <w:tcW w:w="888"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1104</w:t>
            </w:r>
          </w:p>
        </w:tc>
        <w:tc>
          <w:tcPr>
            <w:tcW w:w="838"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0</w:t>
            </w:r>
          </w:p>
        </w:tc>
      </w:tr>
      <w:tr w:rsidR="00AB7C54" w:rsidRPr="00FE3F7D" w:rsidTr="00277DC8">
        <w:trPr>
          <w:trHeight w:val="290"/>
        </w:trPr>
        <w:tc>
          <w:tcPr>
            <w:tcW w:w="2128"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rPr>
                <w:color w:val="000000"/>
                <w:sz w:val="18"/>
                <w:szCs w:val="18"/>
              </w:rPr>
            </w:pPr>
            <w:r w:rsidRPr="00FE3F7D">
              <w:rPr>
                <w:color w:val="000000"/>
                <w:sz w:val="18"/>
                <w:szCs w:val="18"/>
              </w:rPr>
              <w:t>Transmission Mitigation</w:t>
            </w:r>
          </w:p>
        </w:tc>
        <w:tc>
          <w:tcPr>
            <w:tcW w:w="99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52642</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544</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1232</w:t>
            </w:r>
          </w:p>
        </w:tc>
        <w:tc>
          <w:tcPr>
            <w:tcW w:w="90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8361</w:t>
            </w:r>
          </w:p>
        </w:tc>
        <w:tc>
          <w:tcPr>
            <w:tcW w:w="72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1168</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1803</w:t>
            </w:r>
          </w:p>
        </w:tc>
        <w:tc>
          <w:tcPr>
            <w:tcW w:w="90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12379</w:t>
            </w:r>
          </w:p>
        </w:tc>
        <w:tc>
          <w:tcPr>
            <w:tcW w:w="90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352</w:t>
            </w:r>
          </w:p>
        </w:tc>
        <w:tc>
          <w:tcPr>
            <w:tcW w:w="72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18484</w:t>
            </w:r>
          </w:p>
        </w:tc>
        <w:tc>
          <w:tcPr>
            <w:tcW w:w="72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2522</w:t>
            </w:r>
          </w:p>
        </w:tc>
        <w:tc>
          <w:tcPr>
            <w:tcW w:w="888"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5797</w:t>
            </w:r>
          </w:p>
        </w:tc>
        <w:tc>
          <w:tcPr>
            <w:tcW w:w="838"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0</w:t>
            </w:r>
          </w:p>
        </w:tc>
      </w:tr>
      <w:tr w:rsidR="00AB7C54" w:rsidRPr="00FE3F7D" w:rsidTr="00277DC8">
        <w:trPr>
          <w:trHeight w:val="273"/>
        </w:trPr>
        <w:tc>
          <w:tcPr>
            <w:tcW w:w="2128"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rPr>
                <w:color w:val="000000"/>
                <w:sz w:val="18"/>
                <w:szCs w:val="18"/>
              </w:rPr>
            </w:pPr>
            <w:r w:rsidRPr="00FE3F7D">
              <w:rPr>
                <w:color w:val="000000"/>
                <w:sz w:val="18"/>
                <w:szCs w:val="18"/>
              </w:rPr>
              <w:t>Transmission</w:t>
            </w:r>
            <w:r w:rsidR="00FE3F7D">
              <w:rPr>
                <w:color w:val="000000"/>
                <w:sz w:val="18"/>
                <w:szCs w:val="18"/>
              </w:rPr>
              <w:t xml:space="preserve"> </w:t>
            </w:r>
            <w:r w:rsidRPr="00FE3F7D">
              <w:rPr>
                <w:color w:val="000000"/>
                <w:sz w:val="18"/>
                <w:szCs w:val="18"/>
              </w:rPr>
              <w:t>procedure</w:t>
            </w:r>
          </w:p>
        </w:tc>
        <w:tc>
          <w:tcPr>
            <w:tcW w:w="99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155459</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9024</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67775</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5613</w:t>
            </w:r>
          </w:p>
        </w:tc>
        <w:tc>
          <w:tcPr>
            <w:tcW w:w="90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4624</w:t>
            </w:r>
          </w:p>
        </w:tc>
        <w:tc>
          <w:tcPr>
            <w:tcW w:w="72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5068</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11272</w:t>
            </w:r>
          </w:p>
        </w:tc>
        <w:tc>
          <w:tcPr>
            <w:tcW w:w="90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18938</w:t>
            </w:r>
          </w:p>
        </w:tc>
        <w:tc>
          <w:tcPr>
            <w:tcW w:w="90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7554</w:t>
            </w:r>
          </w:p>
        </w:tc>
        <w:tc>
          <w:tcPr>
            <w:tcW w:w="72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15677</w:t>
            </w:r>
          </w:p>
        </w:tc>
        <w:tc>
          <w:tcPr>
            <w:tcW w:w="72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6439</w:t>
            </w:r>
          </w:p>
        </w:tc>
        <w:tc>
          <w:tcPr>
            <w:tcW w:w="888"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28</w:t>
            </w:r>
          </w:p>
        </w:tc>
        <w:tc>
          <w:tcPr>
            <w:tcW w:w="838"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3448</w:t>
            </w:r>
          </w:p>
        </w:tc>
      </w:tr>
      <w:tr w:rsidR="00AB7C54" w:rsidRPr="00FE3F7D" w:rsidTr="00277DC8">
        <w:trPr>
          <w:trHeight w:val="147"/>
        </w:trPr>
        <w:tc>
          <w:tcPr>
            <w:tcW w:w="2128"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rPr>
                <w:color w:val="000000"/>
                <w:sz w:val="18"/>
                <w:szCs w:val="18"/>
              </w:rPr>
            </w:pPr>
            <w:r w:rsidRPr="00FE3F7D">
              <w:rPr>
                <w:color w:val="000000"/>
                <w:sz w:val="18"/>
                <w:szCs w:val="18"/>
              </w:rPr>
              <w:t>Unit Testing</w:t>
            </w:r>
          </w:p>
        </w:tc>
        <w:tc>
          <w:tcPr>
            <w:tcW w:w="99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44047</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7909</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1388</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12294</w:t>
            </w:r>
          </w:p>
        </w:tc>
        <w:tc>
          <w:tcPr>
            <w:tcW w:w="90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4219</w:t>
            </w:r>
          </w:p>
        </w:tc>
        <w:tc>
          <w:tcPr>
            <w:tcW w:w="72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7135</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7312</w:t>
            </w:r>
          </w:p>
        </w:tc>
        <w:tc>
          <w:tcPr>
            <w:tcW w:w="90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21</w:t>
            </w:r>
          </w:p>
        </w:tc>
        <w:tc>
          <w:tcPr>
            <w:tcW w:w="90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122</w:t>
            </w:r>
          </w:p>
        </w:tc>
        <w:tc>
          <w:tcPr>
            <w:tcW w:w="72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2</w:t>
            </w:r>
          </w:p>
        </w:tc>
        <w:tc>
          <w:tcPr>
            <w:tcW w:w="72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194</w:t>
            </w:r>
          </w:p>
        </w:tc>
        <w:tc>
          <w:tcPr>
            <w:tcW w:w="888"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2491</w:t>
            </w:r>
          </w:p>
        </w:tc>
        <w:tc>
          <w:tcPr>
            <w:tcW w:w="838"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960</w:t>
            </w:r>
          </w:p>
        </w:tc>
      </w:tr>
      <w:tr w:rsidR="00AB7C54" w:rsidRPr="00FE3F7D" w:rsidTr="00277DC8">
        <w:trPr>
          <w:trHeight w:val="192"/>
        </w:trPr>
        <w:tc>
          <w:tcPr>
            <w:tcW w:w="2128"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rPr>
                <w:color w:val="000000"/>
                <w:sz w:val="18"/>
                <w:szCs w:val="18"/>
              </w:rPr>
            </w:pPr>
            <w:r w:rsidRPr="00FE3F7D">
              <w:rPr>
                <w:color w:val="000000"/>
                <w:sz w:val="18"/>
                <w:szCs w:val="18"/>
              </w:rPr>
              <w:t>Zonal Import Limits</w:t>
            </w:r>
          </w:p>
        </w:tc>
        <w:tc>
          <w:tcPr>
            <w:tcW w:w="99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487</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45</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15</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0</w:t>
            </w:r>
          </w:p>
        </w:tc>
        <w:tc>
          <w:tcPr>
            <w:tcW w:w="90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427</w:t>
            </w:r>
          </w:p>
        </w:tc>
        <w:tc>
          <w:tcPr>
            <w:tcW w:w="72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0</w:t>
            </w:r>
          </w:p>
        </w:tc>
        <w:tc>
          <w:tcPr>
            <w:tcW w:w="90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0</w:t>
            </w:r>
          </w:p>
        </w:tc>
        <w:tc>
          <w:tcPr>
            <w:tcW w:w="90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0</w:t>
            </w:r>
          </w:p>
        </w:tc>
        <w:tc>
          <w:tcPr>
            <w:tcW w:w="888"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0</w:t>
            </w:r>
          </w:p>
        </w:tc>
        <w:tc>
          <w:tcPr>
            <w:tcW w:w="838"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0</w:t>
            </w:r>
          </w:p>
        </w:tc>
      </w:tr>
      <w:tr w:rsidR="00AB7C54" w:rsidRPr="00FE3F7D" w:rsidTr="00277DC8">
        <w:trPr>
          <w:trHeight w:val="290"/>
        </w:trPr>
        <w:tc>
          <w:tcPr>
            <w:tcW w:w="2128" w:type="dxa"/>
            <w:tcBorders>
              <w:top w:val="nil"/>
              <w:left w:val="single" w:sz="6" w:space="0" w:color="auto"/>
              <w:bottom w:val="nil"/>
              <w:right w:val="single" w:sz="6" w:space="0" w:color="auto"/>
            </w:tcBorders>
          </w:tcPr>
          <w:p w:rsidR="004A2ECB" w:rsidRPr="00FE3F7D" w:rsidRDefault="004A2ECB" w:rsidP="00FE3F7D">
            <w:pPr>
              <w:autoSpaceDE w:val="0"/>
              <w:autoSpaceDN w:val="0"/>
              <w:adjustRightInd w:val="0"/>
              <w:rPr>
                <w:color w:val="000000"/>
                <w:sz w:val="18"/>
                <w:szCs w:val="18"/>
              </w:rPr>
            </w:pPr>
            <w:r w:rsidRPr="00FE3F7D">
              <w:rPr>
                <w:color w:val="000000"/>
                <w:sz w:val="18"/>
                <w:szCs w:val="18"/>
              </w:rPr>
              <w:t>Other</w:t>
            </w:r>
          </w:p>
        </w:tc>
        <w:tc>
          <w:tcPr>
            <w:tcW w:w="99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138833</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7456</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13435</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993</w:t>
            </w:r>
          </w:p>
        </w:tc>
        <w:tc>
          <w:tcPr>
            <w:tcW w:w="90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2955</w:t>
            </w:r>
          </w:p>
        </w:tc>
        <w:tc>
          <w:tcPr>
            <w:tcW w:w="72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183</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8</w:t>
            </w:r>
          </w:p>
        </w:tc>
        <w:tc>
          <w:tcPr>
            <w:tcW w:w="90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3771</w:t>
            </w:r>
          </w:p>
        </w:tc>
        <w:tc>
          <w:tcPr>
            <w:tcW w:w="90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17376</w:t>
            </w:r>
          </w:p>
        </w:tc>
        <w:tc>
          <w:tcPr>
            <w:tcW w:w="72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67431</w:t>
            </w:r>
          </w:p>
        </w:tc>
        <w:tc>
          <w:tcPr>
            <w:tcW w:w="72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18981</w:t>
            </w:r>
          </w:p>
        </w:tc>
        <w:tc>
          <w:tcPr>
            <w:tcW w:w="888"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639</w:t>
            </w:r>
          </w:p>
        </w:tc>
        <w:tc>
          <w:tcPr>
            <w:tcW w:w="838"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5605</w:t>
            </w:r>
          </w:p>
        </w:tc>
      </w:tr>
      <w:tr w:rsidR="00AB7C54" w:rsidRPr="00FE3F7D" w:rsidTr="00277DC8">
        <w:trPr>
          <w:trHeight w:val="210"/>
        </w:trPr>
        <w:tc>
          <w:tcPr>
            <w:tcW w:w="2128"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rPr>
                <w:color w:val="000000"/>
                <w:sz w:val="18"/>
                <w:szCs w:val="18"/>
              </w:rPr>
            </w:pPr>
            <w:r w:rsidRPr="00FE3F7D">
              <w:rPr>
                <w:color w:val="000000"/>
                <w:sz w:val="18"/>
                <w:szCs w:val="18"/>
              </w:rPr>
              <w:t>Total</w:t>
            </w:r>
          </w:p>
        </w:tc>
        <w:tc>
          <w:tcPr>
            <w:tcW w:w="99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1279159</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82465</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166767</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148581</w:t>
            </w:r>
          </w:p>
        </w:tc>
        <w:tc>
          <w:tcPr>
            <w:tcW w:w="90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89673</w:t>
            </w:r>
          </w:p>
        </w:tc>
        <w:tc>
          <w:tcPr>
            <w:tcW w:w="72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34907</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104974</w:t>
            </w:r>
          </w:p>
        </w:tc>
        <w:tc>
          <w:tcPr>
            <w:tcW w:w="90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136047</w:t>
            </w:r>
          </w:p>
        </w:tc>
        <w:tc>
          <w:tcPr>
            <w:tcW w:w="90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51030</w:t>
            </w:r>
          </w:p>
        </w:tc>
        <w:tc>
          <w:tcPr>
            <w:tcW w:w="72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271072</w:t>
            </w:r>
          </w:p>
        </w:tc>
        <w:tc>
          <w:tcPr>
            <w:tcW w:w="72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100522</w:t>
            </w:r>
          </w:p>
        </w:tc>
        <w:tc>
          <w:tcPr>
            <w:tcW w:w="888"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64246</w:t>
            </w:r>
          </w:p>
        </w:tc>
        <w:tc>
          <w:tcPr>
            <w:tcW w:w="838"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28877</w:t>
            </w:r>
          </w:p>
        </w:tc>
      </w:tr>
      <w:tr w:rsidR="00AB7C54" w:rsidRPr="00FE3F7D" w:rsidTr="00277DC8">
        <w:trPr>
          <w:trHeight w:val="147"/>
        </w:trPr>
        <w:tc>
          <w:tcPr>
            <w:tcW w:w="2128" w:type="dxa"/>
            <w:tcBorders>
              <w:top w:val="nil"/>
              <w:left w:val="nil"/>
              <w:bottom w:val="nil"/>
              <w:right w:val="nil"/>
            </w:tcBorders>
          </w:tcPr>
          <w:p w:rsidR="004A2ECB" w:rsidRPr="00FE3F7D" w:rsidRDefault="004A2ECB" w:rsidP="00FE3F7D">
            <w:pPr>
              <w:autoSpaceDE w:val="0"/>
              <w:autoSpaceDN w:val="0"/>
              <w:adjustRightInd w:val="0"/>
              <w:jc w:val="right"/>
              <w:rPr>
                <w:color w:val="000000"/>
                <w:sz w:val="18"/>
                <w:szCs w:val="18"/>
              </w:rPr>
            </w:pPr>
          </w:p>
        </w:tc>
        <w:tc>
          <w:tcPr>
            <w:tcW w:w="990" w:type="dxa"/>
            <w:tcBorders>
              <w:top w:val="nil"/>
              <w:left w:val="nil"/>
              <w:bottom w:val="nil"/>
              <w:right w:val="nil"/>
            </w:tcBorders>
          </w:tcPr>
          <w:p w:rsidR="004A2ECB" w:rsidRPr="00FE3F7D" w:rsidRDefault="004A2ECB" w:rsidP="00FE3F7D">
            <w:pPr>
              <w:autoSpaceDE w:val="0"/>
              <w:autoSpaceDN w:val="0"/>
              <w:adjustRightInd w:val="0"/>
              <w:jc w:val="right"/>
              <w:rPr>
                <w:color w:val="000000"/>
                <w:sz w:val="18"/>
                <w:szCs w:val="18"/>
              </w:rPr>
            </w:pPr>
          </w:p>
        </w:tc>
        <w:tc>
          <w:tcPr>
            <w:tcW w:w="810" w:type="dxa"/>
            <w:tcBorders>
              <w:top w:val="nil"/>
              <w:left w:val="nil"/>
              <w:bottom w:val="nil"/>
              <w:right w:val="nil"/>
            </w:tcBorders>
          </w:tcPr>
          <w:p w:rsidR="004A2ECB" w:rsidRPr="00FE3F7D" w:rsidRDefault="004A2ECB" w:rsidP="00FE3F7D">
            <w:pPr>
              <w:autoSpaceDE w:val="0"/>
              <w:autoSpaceDN w:val="0"/>
              <w:adjustRightInd w:val="0"/>
              <w:jc w:val="right"/>
              <w:rPr>
                <w:color w:val="000000"/>
                <w:sz w:val="18"/>
                <w:szCs w:val="18"/>
              </w:rPr>
            </w:pPr>
          </w:p>
        </w:tc>
        <w:tc>
          <w:tcPr>
            <w:tcW w:w="810" w:type="dxa"/>
            <w:tcBorders>
              <w:top w:val="nil"/>
              <w:left w:val="nil"/>
              <w:bottom w:val="nil"/>
              <w:right w:val="nil"/>
            </w:tcBorders>
          </w:tcPr>
          <w:p w:rsidR="004A2ECB" w:rsidRPr="00FE3F7D" w:rsidRDefault="004A2ECB" w:rsidP="00FE3F7D">
            <w:pPr>
              <w:autoSpaceDE w:val="0"/>
              <w:autoSpaceDN w:val="0"/>
              <w:adjustRightInd w:val="0"/>
              <w:jc w:val="right"/>
              <w:rPr>
                <w:color w:val="000000"/>
                <w:sz w:val="18"/>
                <w:szCs w:val="18"/>
              </w:rPr>
            </w:pPr>
          </w:p>
        </w:tc>
        <w:tc>
          <w:tcPr>
            <w:tcW w:w="810" w:type="dxa"/>
            <w:tcBorders>
              <w:top w:val="nil"/>
              <w:left w:val="nil"/>
              <w:bottom w:val="nil"/>
              <w:right w:val="nil"/>
            </w:tcBorders>
          </w:tcPr>
          <w:p w:rsidR="004A2ECB" w:rsidRPr="00FE3F7D" w:rsidRDefault="004A2ECB" w:rsidP="00FE3F7D">
            <w:pPr>
              <w:autoSpaceDE w:val="0"/>
              <w:autoSpaceDN w:val="0"/>
              <w:adjustRightInd w:val="0"/>
              <w:jc w:val="right"/>
              <w:rPr>
                <w:color w:val="000000"/>
                <w:sz w:val="18"/>
                <w:szCs w:val="18"/>
              </w:rPr>
            </w:pPr>
          </w:p>
        </w:tc>
        <w:tc>
          <w:tcPr>
            <w:tcW w:w="900" w:type="dxa"/>
            <w:tcBorders>
              <w:top w:val="nil"/>
              <w:left w:val="nil"/>
              <w:bottom w:val="nil"/>
              <w:right w:val="nil"/>
            </w:tcBorders>
          </w:tcPr>
          <w:p w:rsidR="004A2ECB" w:rsidRPr="00FE3F7D" w:rsidRDefault="004A2ECB" w:rsidP="00FE3F7D">
            <w:pPr>
              <w:autoSpaceDE w:val="0"/>
              <w:autoSpaceDN w:val="0"/>
              <w:adjustRightInd w:val="0"/>
              <w:jc w:val="right"/>
              <w:rPr>
                <w:color w:val="000000"/>
                <w:sz w:val="18"/>
                <w:szCs w:val="18"/>
              </w:rPr>
            </w:pPr>
          </w:p>
        </w:tc>
        <w:tc>
          <w:tcPr>
            <w:tcW w:w="720" w:type="dxa"/>
            <w:tcBorders>
              <w:top w:val="nil"/>
              <w:left w:val="nil"/>
              <w:bottom w:val="nil"/>
              <w:right w:val="nil"/>
            </w:tcBorders>
          </w:tcPr>
          <w:p w:rsidR="004A2ECB" w:rsidRPr="00FE3F7D" w:rsidRDefault="004A2ECB" w:rsidP="00FE3F7D">
            <w:pPr>
              <w:autoSpaceDE w:val="0"/>
              <w:autoSpaceDN w:val="0"/>
              <w:adjustRightInd w:val="0"/>
              <w:jc w:val="right"/>
              <w:rPr>
                <w:color w:val="000000"/>
                <w:sz w:val="18"/>
                <w:szCs w:val="18"/>
              </w:rPr>
            </w:pPr>
          </w:p>
        </w:tc>
        <w:tc>
          <w:tcPr>
            <w:tcW w:w="810" w:type="dxa"/>
            <w:tcBorders>
              <w:top w:val="nil"/>
              <w:left w:val="nil"/>
              <w:bottom w:val="nil"/>
              <w:right w:val="nil"/>
            </w:tcBorders>
          </w:tcPr>
          <w:p w:rsidR="004A2ECB" w:rsidRPr="00FE3F7D" w:rsidRDefault="004A2ECB" w:rsidP="00FE3F7D">
            <w:pPr>
              <w:autoSpaceDE w:val="0"/>
              <w:autoSpaceDN w:val="0"/>
              <w:adjustRightInd w:val="0"/>
              <w:jc w:val="right"/>
              <w:rPr>
                <w:color w:val="000000"/>
                <w:sz w:val="18"/>
                <w:szCs w:val="18"/>
              </w:rPr>
            </w:pPr>
          </w:p>
        </w:tc>
        <w:tc>
          <w:tcPr>
            <w:tcW w:w="900" w:type="dxa"/>
            <w:tcBorders>
              <w:top w:val="nil"/>
              <w:left w:val="nil"/>
              <w:bottom w:val="nil"/>
              <w:right w:val="nil"/>
            </w:tcBorders>
          </w:tcPr>
          <w:p w:rsidR="004A2ECB" w:rsidRPr="00FE3F7D" w:rsidRDefault="004A2ECB" w:rsidP="00FE3F7D">
            <w:pPr>
              <w:autoSpaceDE w:val="0"/>
              <w:autoSpaceDN w:val="0"/>
              <w:adjustRightInd w:val="0"/>
              <w:jc w:val="right"/>
              <w:rPr>
                <w:color w:val="000000"/>
                <w:sz w:val="18"/>
                <w:szCs w:val="18"/>
              </w:rPr>
            </w:pPr>
          </w:p>
        </w:tc>
        <w:tc>
          <w:tcPr>
            <w:tcW w:w="900" w:type="dxa"/>
            <w:tcBorders>
              <w:top w:val="nil"/>
              <w:left w:val="nil"/>
              <w:bottom w:val="nil"/>
              <w:right w:val="nil"/>
            </w:tcBorders>
          </w:tcPr>
          <w:p w:rsidR="004A2ECB" w:rsidRPr="00FE3F7D" w:rsidRDefault="004A2ECB" w:rsidP="00FE3F7D">
            <w:pPr>
              <w:autoSpaceDE w:val="0"/>
              <w:autoSpaceDN w:val="0"/>
              <w:adjustRightInd w:val="0"/>
              <w:jc w:val="right"/>
              <w:rPr>
                <w:color w:val="000000"/>
                <w:sz w:val="18"/>
                <w:szCs w:val="18"/>
              </w:rPr>
            </w:pPr>
          </w:p>
        </w:tc>
        <w:tc>
          <w:tcPr>
            <w:tcW w:w="720" w:type="dxa"/>
            <w:tcBorders>
              <w:top w:val="nil"/>
              <w:left w:val="nil"/>
              <w:bottom w:val="nil"/>
              <w:right w:val="nil"/>
            </w:tcBorders>
          </w:tcPr>
          <w:p w:rsidR="004A2ECB" w:rsidRPr="00FE3F7D" w:rsidRDefault="004A2ECB" w:rsidP="00FE3F7D">
            <w:pPr>
              <w:autoSpaceDE w:val="0"/>
              <w:autoSpaceDN w:val="0"/>
              <w:adjustRightInd w:val="0"/>
              <w:jc w:val="right"/>
              <w:rPr>
                <w:color w:val="000000"/>
                <w:sz w:val="18"/>
                <w:szCs w:val="18"/>
              </w:rPr>
            </w:pPr>
          </w:p>
        </w:tc>
        <w:tc>
          <w:tcPr>
            <w:tcW w:w="720" w:type="dxa"/>
            <w:tcBorders>
              <w:top w:val="nil"/>
              <w:left w:val="nil"/>
              <w:bottom w:val="nil"/>
              <w:right w:val="nil"/>
            </w:tcBorders>
          </w:tcPr>
          <w:p w:rsidR="004A2ECB" w:rsidRPr="00FE3F7D" w:rsidRDefault="004A2ECB" w:rsidP="00FE3F7D">
            <w:pPr>
              <w:autoSpaceDE w:val="0"/>
              <w:autoSpaceDN w:val="0"/>
              <w:adjustRightInd w:val="0"/>
              <w:jc w:val="right"/>
              <w:rPr>
                <w:color w:val="000000"/>
                <w:sz w:val="18"/>
                <w:szCs w:val="18"/>
              </w:rPr>
            </w:pPr>
          </w:p>
        </w:tc>
        <w:tc>
          <w:tcPr>
            <w:tcW w:w="888" w:type="dxa"/>
            <w:tcBorders>
              <w:top w:val="nil"/>
              <w:left w:val="nil"/>
              <w:bottom w:val="nil"/>
              <w:right w:val="nil"/>
            </w:tcBorders>
          </w:tcPr>
          <w:p w:rsidR="004A2ECB" w:rsidRPr="00FE3F7D" w:rsidRDefault="004A2ECB" w:rsidP="00FE3F7D">
            <w:pPr>
              <w:autoSpaceDE w:val="0"/>
              <w:autoSpaceDN w:val="0"/>
              <w:adjustRightInd w:val="0"/>
              <w:jc w:val="right"/>
              <w:rPr>
                <w:color w:val="000000"/>
                <w:sz w:val="18"/>
                <w:szCs w:val="18"/>
              </w:rPr>
            </w:pPr>
          </w:p>
        </w:tc>
        <w:tc>
          <w:tcPr>
            <w:tcW w:w="838" w:type="dxa"/>
            <w:tcBorders>
              <w:top w:val="nil"/>
              <w:left w:val="nil"/>
              <w:bottom w:val="nil"/>
              <w:right w:val="nil"/>
            </w:tcBorders>
          </w:tcPr>
          <w:p w:rsidR="004A2ECB" w:rsidRPr="00FE3F7D" w:rsidRDefault="004A2ECB" w:rsidP="00FE3F7D">
            <w:pPr>
              <w:autoSpaceDE w:val="0"/>
              <w:autoSpaceDN w:val="0"/>
              <w:adjustRightInd w:val="0"/>
              <w:jc w:val="right"/>
              <w:rPr>
                <w:color w:val="000000"/>
                <w:sz w:val="18"/>
                <w:szCs w:val="18"/>
              </w:rPr>
            </w:pPr>
          </w:p>
        </w:tc>
      </w:tr>
      <w:tr w:rsidR="00AB7C54" w:rsidRPr="00FE3F7D" w:rsidTr="00277DC8">
        <w:trPr>
          <w:trHeight w:val="165"/>
        </w:trPr>
        <w:tc>
          <w:tcPr>
            <w:tcW w:w="2128"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p>
        </w:tc>
        <w:tc>
          <w:tcPr>
            <w:tcW w:w="990" w:type="dxa"/>
            <w:tcBorders>
              <w:top w:val="single" w:sz="6" w:space="0" w:color="auto"/>
              <w:left w:val="single" w:sz="6" w:space="0" w:color="auto"/>
              <w:bottom w:val="single" w:sz="6" w:space="0" w:color="auto"/>
              <w:right w:val="single" w:sz="6" w:space="0" w:color="auto"/>
            </w:tcBorders>
          </w:tcPr>
          <w:p w:rsidR="004A2ECB" w:rsidRPr="00FE3F7D" w:rsidRDefault="004A2ECB" w:rsidP="00AB7C54">
            <w:pPr>
              <w:autoSpaceDE w:val="0"/>
              <w:autoSpaceDN w:val="0"/>
              <w:adjustRightInd w:val="0"/>
              <w:rPr>
                <w:color w:val="000000"/>
                <w:sz w:val="18"/>
                <w:szCs w:val="18"/>
              </w:rPr>
            </w:pPr>
            <w:r w:rsidRPr="00FE3F7D">
              <w:rPr>
                <w:color w:val="000000"/>
                <w:sz w:val="18"/>
                <w:szCs w:val="18"/>
              </w:rPr>
              <w:t xml:space="preserve">2010 Total </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Jan-10</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Feb-10</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Mar-10</w:t>
            </w:r>
          </w:p>
        </w:tc>
        <w:tc>
          <w:tcPr>
            <w:tcW w:w="90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Apr-10</w:t>
            </w:r>
          </w:p>
        </w:tc>
        <w:tc>
          <w:tcPr>
            <w:tcW w:w="72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May-10</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Jun-10</w:t>
            </w:r>
          </w:p>
        </w:tc>
        <w:tc>
          <w:tcPr>
            <w:tcW w:w="90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Jul-10</w:t>
            </w:r>
          </w:p>
        </w:tc>
        <w:tc>
          <w:tcPr>
            <w:tcW w:w="90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Aug-10</w:t>
            </w:r>
          </w:p>
        </w:tc>
        <w:tc>
          <w:tcPr>
            <w:tcW w:w="72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Sep-10</w:t>
            </w:r>
          </w:p>
        </w:tc>
        <w:tc>
          <w:tcPr>
            <w:tcW w:w="72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Oct-10</w:t>
            </w:r>
          </w:p>
        </w:tc>
        <w:tc>
          <w:tcPr>
            <w:tcW w:w="888"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Nov-10</w:t>
            </w:r>
          </w:p>
        </w:tc>
        <w:tc>
          <w:tcPr>
            <w:tcW w:w="838"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Dec-10</w:t>
            </w:r>
          </w:p>
        </w:tc>
      </w:tr>
      <w:tr w:rsidR="00AB7C54" w:rsidRPr="00FE3F7D" w:rsidTr="00277DC8">
        <w:trPr>
          <w:trHeight w:val="237"/>
        </w:trPr>
        <w:tc>
          <w:tcPr>
            <w:tcW w:w="2128"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rPr>
                <w:color w:val="000000"/>
                <w:sz w:val="18"/>
                <w:szCs w:val="18"/>
              </w:rPr>
            </w:pPr>
            <w:r w:rsidRPr="00FE3F7D">
              <w:rPr>
                <w:color w:val="000000"/>
                <w:sz w:val="18"/>
                <w:szCs w:val="18"/>
              </w:rPr>
              <w:t>Dispatchability</w:t>
            </w:r>
          </w:p>
        </w:tc>
        <w:tc>
          <w:tcPr>
            <w:tcW w:w="99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137094</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3605</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284</w:t>
            </w:r>
          </w:p>
        </w:tc>
        <w:tc>
          <w:tcPr>
            <w:tcW w:w="90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1569</w:t>
            </w:r>
          </w:p>
        </w:tc>
        <w:tc>
          <w:tcPr>
            <w:tcW w:w="72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773</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16672</w:t>
            </w:r>
          </w:p>
        </w:tc>
        <w:tc>
          <w:tcPr>
            <w:tcW w:w="90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45951</w:t>
            </w:r>
          </w:p>
        </w:tc>
        <w:tc>
          <w:tcPr>
            <w:tcW w:w="90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26574</w:t>
            </w:r>
          </w:p>
        </w:tc>
        <w:tc>
          <w:tcPr>
            <w:tcW w:w="72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12275</w:t>
            </w:r>
          </w:p>
        </w:tc>
        <w:tc>
          <w:tcPr>
            <w:tcW w:w="72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7286</w:t>
            </w:r>
          </w:p>
        </w:tc>
        <w:tc>
          <w:tcPr>
            <w:tcW w:w="888"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16245</w:t>
            </w:r>
          </w:p>
        </w:tc>
        <w:tc>
          <w:tcPr>
            <w:tcW w:w="838"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5861</w:t>
            </w:r>
          </w:p>
        </w:tc>
      </w:tr>
      <w:tr w:rsidR="00AB7C54" w:rsidRPr="00FE3F7D" w:rsidTr="00277DC8">
        <w:trPr>
          <w:trHeight w:val="290"/>
        </w:trPr>
        <w:tc>
          <w:tcPr>
            <w:tcW w:w="2128"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rPr>
                <w:color w:val="000000"/>
                <w:sz w:val="18"/>
                <w:szCs w:val="18"/>
              </w:rPr>
            </w:pPr>
            <w:r w:rsidRPr="00FE3F7D">
              <w:rPr>
                <w:color w:val="000000"/>
                <w:sz w:val="18"/>
                <w:szCs w:val="18"/>
              </w:rPr>
              <w:t>Forecast Uncertainty</w:t>
            </w:r>
          </w:p>
        </w:tc>
        <w:tc>
          <w:tcPr>
            <w:tcW w:w="99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13108</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11992</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0</w:t>
            </w:r>
          </w:p>
        </w:tc>
        <w:tc>
          <w:tcPr>
            <w:tcW w:w="90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0</w:t>
            </w:r>
          </w:p>
        </w:tc>
        <w:tc>
          <w:tcPr>
            <w:tcW w:w="90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0</w:t>
            </w:r>
          </w:p>
        </w:tc>
        <w:tc>
          <w:tcPr>
            <w:tcW w:w="90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1116</w:t>
            </w:r>
          </w:p>
        </w:tc>
        <w:tc>
          <w:tcPr>
            <w:tcW w:w="72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0</w:t>
            </w:r>
          </w:p>
        </w:tc>
        <w:tc>
          <w:tcPr>
            <w:tcW w:w="888"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0</w:t>
            </w:r>
          </w:p>
        </w:tc>
        <w:tc>
          <w:tcPr>
            <w:tcW w:w="838"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0</w:t>
            </w:r>
          </w:p>
        </w:tc>
      </w:tr>
      <w:tr w:rsidR="00AB7C54" w:rsidRPr="00FE3F7D" w:rsidTr="00277DC8">
        <w:trPr>
          <w:trHeight w:val="290"/>
        </w:trPr>
        <w:tc>
          <w:tcPr>
            <w:tcW w:w="2128"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rPr>
                <w:color w:val="000000"/>
                <w:sz w:val="18"/>
                <w:szCs w:val="18"/>
              </w:rPr>
            </w:pPr>
            <w:r w:rsidRPr="00FE3F7D">
              <w:rPr>
                <w:color w:val="000000"/>
                <w:sz w:val="18"/>
                <w:szCs w:val="18"/>
              </w:rPr>
              <w:t>Generation procedure</w:t>
            </w:r>
          </w:p>
        </w:tc>
        <w:tc>
          <w:tcPr>
            <w:tcW w:w="99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51339</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1891</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0</w:t>
            </w:r>
          </w:p>
        </w:tc>
        <w:tc>
          <w:tcPr>
            <w:tcW w:w="90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12968</w:t>
            </w:r>
          </w:p>
        </w:tc>
        <w:tc>
          <w:tcPr>
            <w:tcW w:w="72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8060</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4968</w:t>
            </w:r>
          </w:p>
        </w:tc>
        <w:tc>
          <w:tcPr>
            <w:tcW w:w="90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4021</w:t>
            </w:r>
          </w:p>
        </w:tc>
        <w:tc>
          <w:tcPr>
            <w:tcW w:w="90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12172</w:t>
            </w:r>
          </w:p>
        </w:tc>
        <w:tc>
          <w:tcPr>
            <w:tcW w:w="72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5010</w:t>
            </w:r>
          </w:p>
        </w:tc>
        <w:tc>
          <w:tcPr>
            <w:tcW w:w="888"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2201</w:t>
            </w:r>
          </w:p>
        </w:tc>
        <w:tc>
          <w:tcPr>
            <w:tcW w:w="838"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47</w:t>
            </w:r>
          </w:p>
        </w:tc>
      </w:tr>
      <w:tr w:rsidR="00AB7C54" w:rsidRPr="00FE3F7D" w:rsidTr="00277DC8">
        <w:trPr>
          <w:trHeight w:val="381"/>
        </w:trPr>
        <w:tc>
          <w:tcPr>
            <w:tcW w:w="2128"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rPr>
                <w:color w:val="000000"/>
                <w:sz w:val="18"/>
                <w:szCs w:val="18"/>
              </w:rPr>
            </w:pPr>
            <w:r w:rsidRPr="00FE3F7D">
              <w:rPr>
                <w:color w:val="000000"/>
                <w:sz w:val="18"/>
                <w:szCs w:val="18"/>
              </w:rPr>
              <w:t>Generation/ Transmission Outage</w:t>
            </w:r>
          </w:p>
        </w:tc>
        <w:tc>
          <w:tcPr>
            <w:tcW w:w="99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267650</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11966</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7547</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32841</w:t>
            </w:r>
          </w:p>
        </w:tc>
        <w:tc>
          <w:tcPr>
            <w:tcW w:w="90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45039</w:t>
            </w:r>
          </w:p>
        </w:tc>
        <w:tc>
          <w:tcPr>
            <w:tcW w:w="72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49902</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18392</w:t>
            </w:r>
          </w:p>
        </w:tc>
        <w:tc>
          <w:tcPr>
            <w:tcW w:w="90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9237</w:t>
            </w:r>
          </w:p>
        </w:tc>
        <w:tc>
          <w:tcPr>
            <w:tcW w:w="90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9023</w:t>
            </w:r>
          </w:p>
        </w:tc>
        <w:tc>
          <w:tcPr>
            <w:tcW w:w="72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7614</w:t>
            </w:r>
          </w:p>
        </w:tc>
        <w:tc>
          <w:tcPr>
            <w:tcW w:w="72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24371</w:t>
            </w:r>
          </w:p>
        </w:tc>
        <w:tc>
          <w:tcPr>
            <w:tcW w:w="888"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40004</w:t>
            </w:r>
          </w:p>
        </w:tc>
        <w:tc>
          <w:tcPr>
            <w:tcW w:w="838"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11714</w:t>
            </w:r>
          </w:p>
        </w:tc>
      </w:tr>
      <w:tr w:rsidR="00AB7C54" w:rsidRPr="00FE3F7D" w:rsidTr="00277DC8">
        <w:trPr>
          <w:trHeight w:val="290"/>
        </w:trPr>
        <w:tc>
          <w:tcPr>
            <w:tcW w:w="2128"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rPr>
                <w:color w:val="000000"/>
                <w:sz w:val="18"/>
                <w:szCs w:val="18"/>
              </w:rPr>
            </w:pPr>
            <w:r w:rsidRPr="00FE3F7D">
              <w:rPr>
                <w:color w:val="000000"/>
                <w:sz w:val="18"/>
                <w:szCs w:val="18"/>
              </w:rPr>
              <w:t>Software Limitation</w:t>
            </w:r>
          </w:p>
        </w:tc>
        <w:tc>
          <w:tcPr>
            <w:tcW w:w="99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119617</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6703</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2190</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3263</w:t>
            </w:r>
          </w:p>
        </w:tc>
        <w:tc>
          <w:tcPr>
            <w:tcW w:w="90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5289</w:t>
            </w:r>
          </w:p>
        </w:tc>
        <w:tc>
          <w:tcPr>
            <w:tcW w:w="72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9600</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9198</w:t>
            </w:r>
          </w:p>
        </w:tc>
        <w:tc>
          <w:tcPr>
            <w:tcW w:w="90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6019</w:t>
            </w:r>
          </w:p>
        </w:tc>
        <w:tc>
          <w:tcPr>
            <w:tcW w:w="90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17787</w:t>
            </w:r>
          </w:p>
        </w:tc>
        <w:tc>
          <w:tcPr>
            <w:tcW w:w="72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22180</w:t>
            </w:r>
          </w:p>
        </w:tc>
        <w:tc>
          <w:tcPr>
            <w:tcW w:w="72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18444</w:t>
            </w:r>
          </w:p>
        </w:tc>
        <w:tc>
          <w:tcPr>
            <w:tcW w:w="888"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6411</w:t>
            </w:r>
          </w:p>
        </w:tc>
        <w:tc>
          <w:tcPr>
            <w:tcW w:w="838"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18"/>
                <w:szCs w:val="18"/>
              </w:rPr>
            </w:pPr>
            <w:r w:rsidRPr="00FE3F7D">
              <w:rPr>
                <w:color w:val="000000"/>
                <w:sz w:val="18"/>
                <w:szCs w:val="18"/>
              </w:rPr>
              <w:t>12533</w:t>
            </w:r>
          </w:p>
        </w:tc>
      </w:tr>
      <w:tr w:rsidR="00AB7C54" w:rsidRPr="00AD151D" w:rsidTr="00277DC8">
        <w:trPr>
          <w:trHeight w:val="290"/>
        </w:trPr>
        <w:tc>
          <w:tcPr>
            <w:tcW w:w="2128"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rPr>
                <w:color w:val="000000"/>
                <w:sz w:val="20"/>
                <w:szCs w:val="20"/>
              </w:rPr>
            </w:pPr>
            <w:r w:rsidRPr="00FE3F7D">
              <w:rPr>
                <w:color w:val="000000"/>
                <w:sz w:val="20"/>
                <w:szCs w:val="20"/>
              </w:rPr>
              <w:t>System Reliability</w:t>
            </w:r>
          </w:p>
        </w:tc>
        <w:tc>
          <w:tcPr>
            <w:tcW w:w="99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20"/>
                <w:szCs w:val="20"/>
              </w:rPr>
            </w:pPr>
            <w:r w:rsidRPr="00FE3F7D">
              <w:rPr>
                <w:color w:val="000000"/>
                <w:sz w:val="20"/>
                <w:szCs w:val="20"/>
              </w:rPr>
              <w:t>257691</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20"/>
                <w:szCs w:val="20"/>
              </w:rPr>
            </w:pPr>
            <w:r w:rsidRPr="00FE3F7D">
              <w:rPr>
                <w:color w:val="000000"/>
                <w:sz w:val="20"/>
                <w:szCs w:val="20"/>
              </w:rPr>
              <w:t>16640</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20"/>
                <w:szCs w:val="20"/>
              </w:rPr>
            </w:pPr>
            <w:r w:rsidRPr="00FE3F7D">
              <w:rPr>
                <w:color w:val="000000"/>
                <w:sz w:val="20"/>
                <w:szCs w:val="20"/>
              </w:rPr>
              <w:t>3108</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20"/>
                <w:szCs w:val="20"/>
              </w:rPr>
            </w:pPr>
            <w:r w:rsidRPr="00FE3F7D">
              <w:rPr>
                <w:color w:val="000000"/>
                <w:sz w:val="20"/>
                <w:szCs w:val="20"/>
              </w:rPr>
              <w:t>8904</w:t>
            </w:r>
          </w:p>
        </w:tc>
        <w:tc>
          <w:tcPr>
            <w:tcW w:w="90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20"/>
                <w:szCs w:val="20"/>
              </w:rPr>
            </w:pPr>
            <w:r w:rsidRPr="00FE3F7D">
              <w:rPr>
                <w:color w:val="000000"/>
                <w:sz w:val="20"/>
                <w:szCs w:val="20"/>
              </w:rPr>
              <w:t>1620</w:t>
            </w:r>
          </w:p>
        </w:tc>
        <w:tc>
          <w:tcPr>
            <w:tcW w:w="72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20"/>
                <w:szCs w:val="20"/>
              </w:rPr>
            </w:pPr>
            <w:r w:rsidRPr="00FE3F7D">
              <w:rPr>
                <w:color w:val="000000"/>
                <w:sz w:val="20"/>
                <w:szCs w:val="20"/>
              </w:rPr>
              <w:t>1619</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20"/>
                <w:szCs w:val="20"/>
              </w:rPr>
            </w:pPr>
            <w:r w:rsidRPr="00FE3F7D">
              <w:rPr>
                <w:color w:val="000000"/>
                <w:sz w:val="20"/>
                <w:szCs w:val="20"/>
              </w:rPr>
              <w:t>40229</w:t>
            </w:r>
          </w:p>
        </w:tc>
        <w:tc>
          <w:tcPr>
            <w:tcW w:w="90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20"/>
                <w:szCs w:val="20"/>
              </w:rPr>
            </w:pPr>
            <w:r w:rsidRPr="00FE3F7D">
              <w:rPr>
                <w:color w:val="000000"/>
                <w:sz w:val="20"/>
                <w:szCs w:val="20"/>
              </w:rPr>
              <w:t>46094</w:t>
            </w:r>
          </w:p>
        </w:tc>
        <w:tc>
          <w:tcPr>
            <w:tcW w:w="900" w:type="dxa"/>
            <w:tcBorders>
              <w:top w:val="single" w:sz="6" w:space="0" w:color="auto"/>
              <w:left w:val="single" w:sz="6" w:space="0" w:color="auto"/>
              <w:bottom w:val="single" w:sz="6" w:space="0" w:color="auto"/>
              <w:right w:val="single" w:sz="6" w:space="0" w:color="auto"/>
            </w:tcBorders>
          </w:tcPr>
          <w:p w:rsidR="004A2ECB" w:rsidRPr="006645E2" w:rsidRDefault="004A2ECB" w:rsidP="00FE3F7D">
            <w:pPr>
              <w:autoSpaceDE w:val="0"/>
              <w:autoSpaceDN w:val="0"/>
              <w:adjustRightInd w:val="0"/>
              <w:jc w:val="right"/>
              <w:rPr>
                <w:color w:val="000000"/>
                <w:sz w:val="20"/>
                <w:szCs w:val="20"/>
              </w:rPr>
            </w:pPr>
            <w:r w:rsidRPr="006645E2">
              <w:rPr>
                <w:color w:val="000000"/>
                <w:sz w:val="20"/>
                <w:szCs w:val="20"/>
              </w:rPr>
              <w:t>131469</w:t>
            </w:r>
          </w:p>
        </w:tc>
        <w:tc>
          <w:tcPr>
            <w:tcW w:w="720" w:type="dxa"/>
            <w:tcBorders>
              <w:top w:val="single" w:sz="6" w:space="0" w:color="auto"/>
              <w:left w:val="single" w:sz="6" w:space="0" w:color="auto"/>
              <w:bottom w:val="single" w:sz="6" w:space="0" w:color="auto"/>
              <w:right w:val="single" w:sz="6" w:space="0" w:color="auto"/>
            </w:tcBorders>
          </w:tcPr>
          <w:p w:rsidR="004A2ECB" w:rsidRPr="006645E2" w:rsidRDefault="004A2ECB" w:rsidP="00FE3F7D">
            <w:pPr>
              <w:autoSpaceDE w:val="0"/>
              <w:autoSpaceDN w:val="0"/>
              <w:adjustRightInd w:val="0"/>
              <w:jc w:val="right"/>
              <w:rPr>
                <w:color w:val="000000"/>
                <w:sz w:val="20"/>
                <w:szCs w:val="20"/>
              </w:rPr>
            </w:pPr>
            <w:r w:rsidRPr="006645E2">
              <w:rPr>
                <w:color w:val="000000"/>
                <w:sz w:val="20"/>
                <w:szCs w:val="20"/>
              </w:rPr>
              <w:t>260</w:t>
            </w:r>
          </w:p>
        </w:tc>
        <w:tc>
          <w:tcPr>
            <w:tcW w:w="720" w:type="dxa"/>
            <w:tcBorders>
              <w:top w:val="single" w:sz="6" w:space="0" w:color="auto"/>
              <w:left w:val="single" w:sz="6" w:space="0" w:color="auto"/>
              <w:bottom w:val="single" w:sz="6" w:space="0" w:color="auto"/>
              <w:right w:val="single" w:sz="6" w:space="0" w:color="auto"/>
            </w:tcBorders>
          </w:tcPr>
          <w:p w:rsidR="004A2ECB" w:rsidRPr="006645E2" w:rsidRDefault="004A2ECB" w:rsidP="00FE3F7D">
            <w:pPr>
              <w:autoSpaceDE w:val="0"/>
              <w:autoSpaceDN w:val="0"/>
              <w:adjustRightInd w:val="0"/>
              <w:jc w:val="right"/>
              <w:rPr>
                <w:color w:val="000000"/>
                <w:sz w:val="20"/>
                <w:szCs w:val="20"/>
              </w:rPr>
            </w:pPr>
            <w:r w:rsidRPr="006645E2">
              <w:rPr>
                <w:color w:val="000000"/>
                <w:sz w:val="20"/>
                <w:szCs w:val="20"/>
              </w:rPr>
              <w:t>267</w:t>
            </w:r>
          </w:p>
        </w:tc>
        <w:tc>
          <w:tcPr>
            <w:tcW w:w="888" w:type="dxa"/>
            <w:tcBorders>
              <w:top w:val="single" w:sz="6" w:space="0" w:color="auto"/>
              <w:left w:val="single" w:sz="6" w:space="0" w:color="auto"/>
              <w:bottom w:val="single" w:sz="6" w:space="0" w:color="auto"/>
              <w:right w:val="single" w:sz="6" w:space="0" w:color="auto"/>
            </w:tcBorders>
          </w:tcPr>
          <w:p w:rsidR="004A2ECB" w:rsidRPr="006645E2" w:rsidRDefault="004A2ECB" w:rsidP="00FE3F7D">
            <w:pPr>
              <w:autoSpaceDE w:val="0"/>
              <w:autoSpaceDN w:val="0"/>
              <w:adjustRightInd w:val="0"/>
              <w:jc w:val="right"/>
              <w:rPr>
                <w:color w:val="000000"/>
                <w:sz w:val="20"/>
                <w:szCs w:val="20"/>
              </w:rPr>
            </w:pPr>
            <w:r w:rsidRPr="006645E2">
              <w:rPr>
                <w:color w:val="000000"/>
                <w:sz w:val="20"/>
                <w:szCs w:val="20"/>
              </w:rPr>
              <w:t>4958</w:t>
            </w:r>
          </w:p>
        </w:tc>
        <w:tc>
          <w:tcPr>
            <w:tcW w:w="838" w:type="dxa"/>
            <w:tcBorders>
              <w:top w:val="single" w:sz="6" w:space="0" w:color="auto"/>
              <w:left w:val="single" w:sz="6" w:space="0" w:color="auto"/>
              <w:bottom w:val="single" w:sz="6" w:space="0" w:color="auto"/>
              <w:right w:val="single" w:sz="6" w:space="0" w:color="auto"/>
            </w:tcBorders>
          </w:tcPr>
          <w:p w:rsidR="004A2ECB" w:rsidRPr="009F38FB" w:rsidRDefault="004A2ECB" w:rsidP="00FE3F7D">
            <w:pPr>
              <w:autoSpaceDE w:val="0"/>
              <w:autoSpaceDN w:val="0"/>
              <w:adjustRightInd w:val="0"/>
              <w:jc w:val="right"/>
              <w:rPr>
                <w:color w:val="000000"/>
                <w:sz w:val="20"/>
                <w:szCs w:val="20"/>
              </w:rPr>
            </w:pPr>
            <w:r w:rsidRPr="009F38FB">
              <w:rPr>
                <w:color w:val="000000"/>
                <w:sz w:val="20"/>
                <w:szCs w:val="20"/>
              </w:rPr>
              <w:t>2522</w:t>
            </w:r>
          </w:p>
        </w:tc>
      </w:tr>
      <w:tr w:rsidR="00AB7C54" w:rsidRPr="00AD151D" w:rsidTr="00277DC8">
        <w:trPr>
          <w:trHeight w:val="290"/>
        </w:trPr>
        <w:tc>
          <w:tcPr>
            <w:tcW w:w="2128"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rPr>
                <w:color w:val="000000"/>
                <w:sz w:val="20"/>
                <w:szCs w:val="20"/>
              </w:rPr>
            </w:pPr>
            <w:r w:rsidRPr="00FE3F7D">
              <w:rPr>
                <w:color w:val="000000"/>
                <w:sz w:val="20"/>
                <w:szCs w:val="20"/>
              </w:rPr>
              <w:t>Transmission Mitigation</w:t>
            </w:r>
          </w:p>
        </w:tc>
        <w:tc>
          <w:tcPr>
            <w:tcW w:w="99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20"/>
                <w:szCs w:val="20"/>
              </w:rPr>
            </w:pPr>
            <w:r w:rsidRPr="00FE3F7D">
              <w:rPr>
                <w:color w:val="000000"/>
                <w:sz w:val="20"/>
                <w:szCs w:val="20"/>
              </w:rPr>
              <w:t>85702</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20"/>
                <w:szCs w:val="20"/>
              </w:rPr>
            </w:pPr>
            <w:r w:rsidRPr="00FE3F7D">
              <w:rPr>
                <w:color w:val="000000"/>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20"/>
                <w:szCs w:val="20"/>
              </w:rPr>
            </w:pPr>
            <w:r w:rsidRPr="00FE3F7D">
              <w:rPr>
                <w:color w:val="000000"/>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20"/>
                <w:szCs w:val="20"/>
              </w:rPr>
            </w:pPr>
            <w:r w:rsidRPr="00FE3F7D">
              <w:rPr>
                <w:color w:val="000000"/>
                <w:sz w:val="20"/>
                <w:szCs w:val="20"/>
              </w:rPr>
              <w:t>0</w:t>
            </w:r>
          </w:p>
        </w:tc>
        <w:tc>
          <w:tcPr>
            <w:tcW w:w="90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20"/>
                <w:szCs w:val="20"/>
              </w:rPr>
            </w:pPr>
            <w:r w:rsidRPr="00FE3F7D">
              <w:rPr>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20"/>
                <w:szCs w:val="20"/>
              </w:rPr>
            </w:pPr>
            <w:r w:rsidRPr="00FE3F7D">
              <w:rPr>
                <w:color w:val="000000"/>
                <w:sz w:val="20"/>
                <w:szCs w:val="20"/>
              </w:rPr>
              <w:t>386</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20"/>
                <w:szCs w:val="20"/>
              </w:rPr>
            </w:pPr>
            <w:r w:rsidRPr="00FE3F7D">
              <w:rPr>
                <w:color w:val="000000"/>
                <w:sz w:val="20"/>
                <w:szCs w:val="20"/>
              </w:rPr>
              <w:t>524</w:t>
            </w:r>
          </w:p>
        </w:tc>
        <w:tc>
          <w:tcPr>
            <w:tcW w:w="90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20"/>
                <w:szCs w:val="20"/>
              </w:rPr>
            </w:pPr>
            <w:r w:rsidRPr="00FE3F7D">
              <w:rPr>
                <w:color w:val="000000"/>
                <w:sz w:val="20"/>
                <w:szCs w:val="20"/>
              </w:rPr>
              <w:t>13652</w:t>
            </w:r>
          </w:p>
        </w:tc>
        <w:tc>
          <w:tcPr>
            <w:tcW w:w="90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20"/>
                <w:szCs w:val="20"/>
              </w:rPr>
            </w:pPr>
            <w:r w:rsidRPr="00FE3F7D">
              <w:rPr>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tcPr>
          <w:p w:rsidR="004A2ECB" w:rsidRPr="006645E2" w:rsidRDefault="004A2ECB" w:rsidP="00FE3F7D">
            <w:pPr>
              <w:autoSpaceDE w:val="0"/>
              <w:autoSpaceDN w:val="0"/>
              <w:adjustRightInd w:val="0"/>
              <w:jc w:val="right"/>
              <w:rPr>
                <w:color w:val="000000"/>
                <w:sz w:val="20"/>
                <w:szCs w:val="20"/>
              </w:rPr>
            </w:pPr>
            <w:r w:rsidRPr="006645E2">
              <w:rPr>
                <w:color w:val="000000"/>
                <w:sz w:val="20"/>
                <w:szCs w:val="20"/>
              </w:rPr>
              <w:t>37267</w:t>
            </w:r>
          </w:p>
        </w:tc>
        <w:tc>
          <w:tcPr>
            <w:tcW w:w="720" w:type="dxa"/>
            <w:tcBorders>
              <w:top w:val="single" w:sz="6" w:space="0" w:color="auto"/>
              <w:left w:val="single" w:sz="6" w:space="0" w:color="auto"/>
              <w:bottom w:val="single" w:sz="6" w:space="0" w:color="auto"/>
              <w:right w:val="single" w:sz="6" w:space="0" w:color="auto"/>
            </w:tcBorders>
          </w:tcPr>
          <w:p w:rsidR="004A2ECB" w:rsidRPr="006645E2" w:rsidRDefault="004A2ECB" w:rsidP="00FE3F7D">
            <w:pPr>
              <w:autoSpaceDE w:val="0"/>
              <w:autoSpaceDN w:val="0"/>
              <w:adjustRightInd w:val="0"/>
              <w:jc w:val="right"/>
              <w:rPr>
                <w:color w:val="000000"/>
                <w:sz w:val="20"/>
                <w:szCs w:val="20"/>
              </w:rPr>
            </w:pPr>
            <w:r w:rsidRPr="006645E2">
              <w:rPr>
                <w:color w:val="000000"/>
                <w:sz w:val="20"/>
                <w:szCs w:val="20"/>
              </w:rPr>
              <w:t>17809</w:t>
            </w:r>
          </w:p>
        </w:tc>
        <w:tc>
          <w:tcPr>
            <w:tcW w:w="888" w:type="dxa"/>
            <w:tcBorders>
              <w:top w:val="single" w:sz="6" w:space="0" w:color="auto"/>
              <w:left w:val="single" w:sz="6" w:space="0" w:color="auto"/>
              <w:bottom w:val="single" w:sz="6" w:space="0" w:color="auto"/>
              <w:right w:val="single" w:sz="6" w:space="0" w:color="auto"/>
            </w:tcBorders>
          </w:tcPr>
          <w:p w:rsidR="004A2ECB" w:rsidRPr="006645E2" w:rsidRDefault="004A2ECB" w:rsidP="00FE3F7D">
            <w:pPr>
              <w:autoSpaceDE w:val="0"/>
              <w:autoSpaceDN w:val="0"/>
              <w:adjustRightInd w:val="0"/>
              <w:jc w:val="right"/>
              <w:rPr>
                <w:color w:val="000000"/>
                <w:sz w:val="20"/>
                <w:szCs w:val="20"/>
              </w:rPr>
            </w:pPr>
            <w:r w:rsidRPr="006645E2">
              <w:rPr>
                <w:color w:val="000000"/>
                <w:sz w:val="20"/>
                <w:szCs w:val="20"/>
              </w:rPr>
              <w:t>15958</w:t>
            </w:r>
          </w:p>
        </w:tc>
        <w:tc>
          <w:tcPr>
            <w:tcW w:w="838" w:type="dxa"/>
            <w:tcBorders>
              <w:top w:val="single" w:sz="6" w:space="0" w:color="auto"/>
              <w:left w:val="single" w:sz="6" w:space="0" w:color="auto"/>
              <w:bottom w:val="single" w:sz="6" w:space="0" w:color="auto"/>
              <w:right w:val="single" w:sz="6" w:space="0" w:color="auto"/>
            </w:tcBorders>
          </w:tcPr>
          <w:p w:rsidR="004A2ECB" w:rsidRPr="006645E2" w:rsidRDefault="004A2ECB" w:rsidP="00FE3F7D">
            <w:pPr>
              <w:autoSpaceDE w:val="0"/>
              <w:autoSpaceDN w:val="0"/>
              <w:adjustRightInd w:val="0"/>
              <w:jc w:val="right"/>
              <w:rPr>
                <w:color w:val="000000"/>
                <w:sz w:val="20"/>
                <w:szCs w:val="20"/>
              </w:rPr>
            </w:pPr>
            <w:r w:rsidRPr="006645E2">
              <w:rPr>
                <w:color w:val="000000"/>
                <w:sz w:val="20"/>
                <w:szCs w:val="20"/>
              </w:rPr>
              <w:t>107</w:t>
            </w:r>
          </w:p>
        </w:tc>
      </w:tr>
      <w:tr w:rsidR="00AB7C54" w:rsidRPr="00AD151D" w:rsidTr="00277DC8">
        <w:trPr>
          <w:trHeight w:val="282"/>
        </w:trPr>
        <w:tc>
          <w:tcPr>
            <w:tcW w:w="2128"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rPr>
                <w:color w:val="000000"/>
                <w:sz w:val="20"/>
                <w:szCs w:val="20"/>
              </w:rPr>
            </w:pPr>
            <w:r w:rsidRPr="00FE3F7D">
              <w:rPr>
                <w:color w:val="000000"/>
                <w:sz w:val="20"/>
                <w:szCs w:val="20"/>
              </w:rPr>
              <w:t>Transmission procedure</w:t>
            </w:r>
          </w:p>
        </w:tc>
        <w:tc>
          <w:tcPr>
            <w:tcW w:w="99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20"/>
                <w:szCs w:val="20"/>
              </w:rPr>
            </w:pPr>
            <w:r w:rsidRPr="00FE3F7D">
              <w:rPr>
                <w:color w:val="000000"/>
                <w:sz w:val="20"/>
                <w:szCs w:val="20"/>
              </w:rPr>
              <w:t>299429</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20"/>
                <w:szCs w:val="20"/>
              </w:rPr>
            </w:pPr>
            <w:r w:rsidRPr="00FE3F7D">
              <w:rPr>
                <w:color w:val="000000"/>
                <w:sz w:val="20"/>
                <w:szCs w:val="20"/>
              </w:rPr>
              <w:t>3423</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20"/>
                <w:szCs w:val="20"/>
              </w:rPr>
            </w:pPr>
            <w:r w:rsidRPr="00FE3F7D">
              <w:rPr>
                <w:color w:val="000000"/>
                <w:sz w:val="20"/>
                <w:szCs w:val="20"/>
              </w:rPr>
              <w:t>1581</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20"/>
                <w:szCs w:val="20"/>
              </w:rPr>
            </w:pPr>
            <w:r w:rsidRPr="00FE3F7D">
              <w:rPr>
                <w:color w:val="000000"/>
                <w:sz w:val="20"/>
                <w:szCs w:val="20"/>
              </w:rPr>
              <w:t>33463</w:t>
            </w:r>
          </w:p>
        </w:tc>
        <w:tc>
          <w:tcPr>
            <w:tcW w:w="90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20"/>
                <w:szCs w:val="20"/>
              </w:rPr>
            </w:pPr>
            <w:r w:rsidRPr="00FE3F7D">
              <w:rPr>
                <w:color w:val="000000"/>
                <w:sz w:val="20"/>
                <w:szCs w:val="20"/>
              </w:rPr>
              <w:t>48421</w:t>
            </w:r>
          </w:p>
        </w:tc>
        <w:tc>
          <w:tcPr>
            <w:tcW w:w="72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20"/>
                <w:szCs w:val="20"/>
              </w:rPr>
            </w:pPr>
            <w:r w:rsidRPr="00FE3F7D">
              <w:rPr>
                <w:color w:val="000000"/>
                <w:sz w:val="20"/>
                <w:szCs w:val="20"/>
              </w:rPr>
              <w:t>7030</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20"/>
                <w:szCs w:val="20"/>
              </w:rPr>
            </w:pPr>
            <w:r w:rsidRPr="00FE3F7D">
              <w:rPr>
                <w:color w:val="000000"/>
                <w:sz w:val="20"/>
                <w:szCs w:val="20"/>
              </w:rPr>
              <w:t>5196</w:t>
            </w:r>
          </w:p>
        </w:tc>
        <w:tc>
          <w:tcPr>
            <w:tcW w:w="90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20"/>
                <w:szCs w:val="20"/>
              </w:rPr>
            </w:pPr>
            <w:r w:rsidRPr="00FE3F7D">
              <w:rPr>
                <w:color w:val="000000"/>
                <w:sz w:val="20"/>
                <w:szCs w:val="20"/>
              </w:rPr>
              <w:t>53039</w:t>
            </w:r>
          </w:p>
        </w:tc>
        <w:tc>
          <w:tcPr>
            <w:tcW w:w="90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20"/>
                <w:szCs w:val="20"/>
              </w:rPr>
            </w:pPr>
            <w:r w:rsidRPr="00FE3F7D">
              <w:rPr>
                <w:color w:val="000000"/>
                <w:sz w:val="20"/>
                <w:szCs w:val="20"/>
              </w:rPr>
              <w:t>38328</w:t>
            </w:r>
          </w:p>
        </w:tc>
        <w:tc>
          <w:tcPr>
            <w:tcW w:w="720" w:type="dxa"/>
            <w:tcBorders>
              <w:top w:val="single" w:sz="6" w:space="0" w:color="auto"/>
              <w:left w:val="single" w:sz="6" w:space="0" w:color="auto"/>
              <w:bottom w:val="single" w:sz="6" w:space="0" w:color="auto"/>
              <w:right w:val="single" w:sz="6" w:space="0" w:color="auto"/>
            </w:tcBorders>
          </w:tcPr>
          <w:p w:rsidR="004A2ECB" w:rsidRPr="006645E2" w:rsidRDefault="004A2ECB" w:rsidP="00FE3F7D">
            <w:pPr>
              <w:autoSpaceDE w:val="0"/>
              <w:autoSpaceDN w:val="0"/>
              <w:adjustRightInd w:val="0"/>
              <w:jc w:val="right"/>
              <w:rPr>
                <w:color w:val="000000"/>
                <w:sz w:val="20"/>
                <w:szCs w:val="20"/>
              </w:rPr>
            </w:pPr>
            <w:r w:rsidRPr="006645E2">
              <w:rPr>
                <w:color w:val="000000"/>
                <w:sz w:val="20"/>
                <w:szCs w:val="20"/>
              </w:rPr>
              <w:t>30476</w:t>
            </w:r>
          </w:p>
        </w:tc>
        <w:tc>
          <w:tcPr>
            <w:tcW w:w="720" w:type="dxa"/>
            <w:tcBorders>
              <w:top w:val="single" w:sz="6" w:space="0" w:color="auto"/>
              <w:left w:val="single" w:sz="6" w:space="0" w:color="auto"/>
              <w:bottom w:val="single" w:sz="6" w:space="0" w:color="auto"/>
              <w:right w:val="single" w:sz="6" w:space="0" w:color="auto"/>
            </w:tcBorders>
          </w:tcPr>
          <w:p w:rsidR="004A2ECB" w:rsidRPr="006645E2" w:rsidRDefault="004A2ECB" w:rsidP="00FE3F7D">
            <w:pPr>
              <w:autoSpaceDE w:val="0"/>
              <w:autoSpaceDN w:val="0"/>
              <w:adjustRightInd w:val="0"/>
              <w:jc w:val="right"/>
              <w:rPr>
                <w:color w:val="000000"/>
                <w:sz w:val="20"/>
                <w:szCs w:val="20"/>
              </w:rPr>
            </w:pPr>
            <w:r w:rsidRPr="006645E2">
              <w:rPr>
                <w:color w:val="000000"/>
                <w:sz w:val="20"/>
                <w:szCs w:val="20"/>
              </w:rPr>
              <w:t>47859</w:t>
            </w:r>
          </w:p>
        </w:tc>
        <w:tc>
          <w:tcPr>
            <w:tcW w:w="888" w:type="dxa"/>
            <w:tcBorders>
              <w:top w:val="single" w:sz="6" w:space="0" w:color="auto"/>
              <w:left w:val="single" w:sz="6" w:space="0" w:color="auto"/>
              <w:bottom w:val="single" w:sz="6" w:space="0" w:color="auto"/>
              <w:right w:val="single" w:sz="6" w:space="0" w:color="auto"/>
            </w:tcBorders>
          </w:tcPr>
          <w:p w:rsidR="004A2ECB" w:rsidRPr="006645E2" w:rsidRDefault="004A2ECB" w:rsidP="00FE3F7D">
            <w:pPr>
              <w:autoSpaceDE w:val="0"/>
              <w:autoSpaceDN w:val="0"/>
              <w:adjustRightInd w:val="0"/>
              <w:jc w:val="right"/>
              <w:rPr>
                <w:color w:val="000000"/>
                <w:sz w:val="20"/>
                <w:szCs w:val="20"/>
              </w:rPr>
            </w:pPr>
            <w:r w:rsidRPr="006645E2">
              <w:rPr>
                <w:color w:val="000000"/>
                <w:sz w:val="20"/>
                <w:szCs w:val="20"/>
              </w:rPr>
              <w:t>26688</w:t>
            </w:r>
          </w:p>
        </w:tc>
        <w:tc>
          <w:tcPr>
            <w:tcW w:w="838" w:type="dxa"/>
            <w:tcBorders>
              <w:top w:val="single" w:sz="6" w:space="0" w:color="auto"/>
              <w:left w:val="single" w:sz="6" w:space="0" w:color="auto"/>
              <w:bottom w:val="single" w:sz="6" w:space="0" w:color="auto"/>
              <w:right w:val="single" w:sz="6" w:space="0" w:color="auto"/>
            </w:tcBorders>
          </w:tcPr>
          <w:p w:rsidR="004A2ECB" w:rsidRPr="006645E2" w:rsidRDefault="004A2ECB" w:rsidP="00FE3F7D">
            <w:pPr>
              <w:autoSpaceDE w:val="0"/>
              <w:autoSpaceDN w:val="0"/>
              <w:adjustRightInd w:val="0"/>
              <w:jc w:val="right"/>
              <w:rPr>
                <w:color w:val="000000"/>
                <w:sz w:val="20"/>
                <w:szCs w:val="20"/>
              </w:rPr>
            </w:pPr>
            <w:r w:rsidRPr="006645E2">
              <w:rPr>
                <w:color w:val="000000"/>
                <w:sz w:val="20"/>
                <w:szCs w:val="20"/>
              </w:rPr>
              <w:t>3927</w:t>
            </w:r>
          </w:p>
        </w:tc>
      </w:tr>
      <w:tr w:rsidR="00AB7C54" w:rsidRPr="00AD151D" w:rsidTr="00277DC8">
        <w:trPr>
          <w:trHeight w:val="290"/>
        </w:trPr>
        <w:tc>
          <w:tcPr>
            <w:tcW w:w="2128"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rPr>
                <w:color w:val="000000"/>
                <w:sz w:val="20"/>
                <w:szCs w:val="20"/>
              </w:rPr>
            </w:pPr>
            <w:r w:rsidRPr="00FE3F7D">
              <w:rPr>
                <w:color w:val="000000"/>
                <w:sz w:val="20"/>
                <w:szCs w:val="20"/>
              </w:rPr>
              <w:t>Unit Testing</w:t>
            </w:r>
          </w:p>
        </w:tc>
        <w:tc>
          <w:tcPr>
            <w:tcW w:w="99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20"/>
                <w:szCs w:val="20"/>
              </w:rPr>
            </w:pPr>
            <w:r w:rsidRPr="00FE3F7D">
              <w:rPr>
                <w:color w:val="000000"/>
                <w:sz w:val="20"/>
                <w:szCs w:val="20"/>
              </w:rPr>
              <w:t>85508</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20"/>
                <w:szCs w:val="20"/>
              </w:rPr>
            </w:pPr>
            <w:r w:rsidRPr="00FE3F7D">
              <w:rPr>
                <w:color w:val="000000"/>
                <w:sz w:val="20"/>
                <w:szCs w:val="20"/>
              </w:rPr>
              <w:t>192</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20"/>
                <w:szCs w:val="20"/>
              </w:rPr>
            </w:pPr>
            <w:r w:rsidRPr="00FE3F7D">
              <w:rPr>
                <w:color w:val="000000"/>
                <w:sz w:val="20"/>
                <w:szCs w:val="20"/>
              </w:rPr>
              <w:t>491</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20"/>
                <w:szCs w:val="20"/>
              </w:rPr>
            </w:pPr>
            <w:r w:rsidRPr="00FE3F7D">
              <w:rPr>
                <w:color w:val="000000"/>
                <w:sz w:val="20"/>
                <w:szCs w:val="20"/>
              </w:rPr>
              <w:t>215</w:t>
            </w:r>
          </w:p>
        </w:tc>
        <w:tc>
          <w:tcPr>
            <w:tcW w:w="90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20"/>
                <w:szCs w:val="20"/>
              </w:rPr>
            </w:pPr>
            <w:r w:rsidRPr="00FE3F7D">
              <w:rPr>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20"/>
                <w:szCs w:val="20"/>
              </w:rPr>
            </w:pPr>
            <w:r w:rsidRPr="00FE3F7D">
              <w:rPr>
                <w:color w:val="000000"/>
                <w:sz w:val="20"/>
                <w:szCs w:val="20"/>
              </w:rPr>
              <w:t>64</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20"/>
                <w:szCs w:val="20"/>
              </w:rPr>
            </w:pPr>
            <w:r w:rsidRPr="00FE3F7D">
              <w:rPr>
                <w:color w:val="000000"/>
                <w:sz w:val="20"/>
                <w:szCs w:val="20"/>
              </w:rPr>
              <w:t>145</w:t>
            </w:r>
          </w:p>
        </w:tc>
        <w:tc>
          <w:tcPr>
            <w:tcW w:w="90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20"/>
                <w:szCs w:val="20"/>
              </w:rPr>
            </w:pPr>
            <w:r w:rsidRPr="00FE3F7D">
              <w:rPr>
                <w:color w:val="000000"/>
                <w:sz w:val="20"/>
                <w:szCs w:val="20"/>
              </w:rPr>
              <w:t>1152</w:t>
            </w:r>
          </w:p>
        </w:tc>
        <w:tc>
          <w:tcPr>
            <w:tcW w:w="90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20"/>
                <w:szCs w:val="20"/>
              </w:rPr>
            </w:pPr>
            <w:r w:rsidRPr="00FE3F7D">
              <w:rPr>
                <w:color w:val="000000"/>
                <w:sz w:val="20"/>
                <w:szCs w:val="20"/>
              </w:rPr>
              <w:t>276</w:t>
            </w:r>
          </w:p>
        </w:tc>
        <w:tc>
          <w:tcPr>
            <w:tcW w:w="720" w:type="dxa"/>
            <w:tcBorders>
              <w:top w:val="single" w:sz="6" w:space="0" w:color="auto"/>
              <w:left w:val="single" w:sz="6" w:space="0" w:color="auto"/>
              <w:bottom w:val="single" w:sz="6" w:space="0" w:color="auto"/>
              <w:right w:val="single" w:sz="6" w:space="0" w:color="auto"/>
            </w:tcBorders>
          </w:tcPr>
          <w:p w:rsidR="004A2ECB" w:rsidRPr="006645E2" w:rsidRDefault="004A2ECB" w:rsidP="00FE3F7D">
            <w:pPr>
              <w:autoSpaceDE w:val="0"/>
              <w:autoSpaceDN w:val="0"/>
              <w:adjustRightInd w:val="0"/>
              <w:jc w:val="right"/>
              <w:rPr>
                <w:color w:val="000000"/>
                <w:sz w:val="20"/>
                <w:szCs w:val="20"/>
              </w:rPr>
            </w:pPr>
            <w:r w:rsidRPr="006645E2">
              <w:rPr>
                <w:color w:val="000000"/>
                <w:sz w:val="20"/>
                <w:szCs w:val="20"/>
              </w:rPr>
              <w:t>3191</w:t>
            </w:r>
          </w:p>
        </w:tc>
        <w:tc>
          <w:tcPr>
            <w:tcW w:w="720" w:type="dxa"/>
            <w:tcBorders>
              <w:top w:val="single" w:sz="6" w:space="0" w:color="auto"/>
              <w:left w:val="single" w:sz="6" w:space="0" w:color="auto"/>
              <w:bottom w:val="single" w:sz="6" w:space="0" w:color="auto"/>
              <w:right w:val="single" w:sz="6" w:space="0" w:color="auto"/>
            </w:tcBorders>
          </w:tcPr>
          <w:p w:rsidR="004A2ECB" w:rsidRPr="006645E2" w:rsidRDefault="004A2ECB" w:rsidP="00FE3F7D">
            <w:pPr>
              <w:autoSpaceDE w:val="0"/>
              <w:autoSpaceDN w:val="0"/>
              <w:adjustRightInd w:val="0"/>
              <w:jc w:val="right"/>
              <w:rPr>
                <w:color w:val="000000"/>
                <w:sz w:val="20"/>
                <w:szCs w:val="20"/>
              </w:rPr>
            </w:pPr>
            <w:r w:rsidRPr="006645E2">
              <w:rPr>
                <w:color w:val="000000"/>
                <w:sz w:val="20"/>
                <w:szCs w:val="20"/>
              </w:rPr>
              <w:t>177</w:t>
            </w:r>
          </w:p>
        </w:tc>
        <w:tc>
          <w:tcPr>
            <w:tcW w:w="888" w:type="dxa"/>
            <w:tcBorders>
              <w:top w:val="single" w:sz="6" w:space="0" w:color="auto"/>
              <w:left w:val="single" w:sz="6" w:space="0" w:color="auto"/>
              <w:bottom w:val="single" w:sz="6" w:space="0" w:color="auto"/>
              <w:right w:val="single" w:sz="6" w:space="0" w:color="auto"/>
            </w:tcBorders>
          </w:tcPr>
          <w:p w:rsidR="004A2ECB" w:rsidRPr="006645E2" w:rsidRDefault="004A2ECB" w:rsidP="00FE3F7D">
            <w:pPr>
              <w:autoSpaceDE w:val="0"/>
              <w:autoSpaceDN w:val="0"/>
              <w:adjustRightInd w:val="0"/>
              <w:jc w:val="right"/>
              <w:rPr>
                <w:color w:val="000000"/>
                <w:sz w:val="20"/>
                <w:szCs w:val="20"/>
              </w:rPr>
            </w:pPr>
            <w:r w:rsidRPr="006645E2">
              <w:rPr>
                <w:color w:val="000000"/>
                <w:sz w:val="20"/>
                <w:szCs w:val="20"/>
              </w:rPr>
              <w:t>202</w:t>
            </w:r>
          </w:p>
        </w:tc>
        <w:tc>
          <w:tcPr>
            <w:tcW w:w="838" w:type="dxa"/>
            <w:tcBorders>
              <w:top w:val="single" w:sz="6" w:space="0" w:color="auto"/>
              <w:left w:val="single" w:sz="6" w:space="0" w:color="auto"/>
              <w:bottom w:val="single" w:sz="6" w:space="0" w:color="auto"/>
              <w:right w:val="single" w:sz="6" w:space="0" w:color="auto"/>
            </w:tcBorders>
          </w:tcPr>
          <w:p w:rsidR="004A2ECB" w:rsidRPr="006645E2" w:rsidRDefault="004A2ECB" w:rsidP="00FE3F7D">
            <w:pPr>
              <w:autoSpaceDE w:val="0"/>
              <w:autoSpaceDN w:val="0"/>
              <w:adjustRightInd w:val="0"/>
              <w:jc w:val="right"/>
              <w:rPr>
                <w:color w:val="000000"/>
                <w:sz w:val="20"/>
                <w:szCs w:val="20"/>
              </w:rPr>
            </w:pPr>
            <w:r w:rsidRPr="006645E2">
              <w:rPr>
                <w:color w:val="000000"/>
                <w:sz w:val="20"/>
                <w:szCs w:val="20"/>
              </w:rPr>
              <w:t>79404</w:t>
            </w:r>
          </w:p>
        </w:tc>
      </w:tr>
      <w:tr w:rsidR="00AB7C54" w:rsidRPr="00AD151D" w:rsidTr="00277DC8">
        <w:trPr>
          <w:trHeight w:val="290"/>
        </w:trPr>
        <w:tc>
          <w:tcPr>
            <w:tcW w:w="2128"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rPr>
                <w:color w:val="000000"/>
                <w:sz w:val="20"/>
                <w:szCs w:val="20"/>
              </w:rPr>
            </w:pPr>
            <w:r w:rsidRPr="00FE3F7D">
              <w:rPr>
                <w:color w:val="000000"/>
                <w:sz w:val="20"/>
                <w:szCs w:val="20"/>
              </w:rPr>
              <w:t>Zonal Import Limits</w:t>
            </w:r>
          </w:p>
        </w:tc>
        <w:tc>
          <w:tcPr>
            <w:tcW w:w="99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20"/>
                <w:szCs w:val="20"/>
              </w:rPr>
            </w:pPr>
            <w:r w:rsidRPr="00FE3F7D">
              <w:rPr>
                <w:color w:val="000000"/>
                <w:sz w:val="20"/>
                <w:szCs w:val="20"/>
              </w:rPr>
              <w:t>17348</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20"/>
                <w:szCs w:val="20"/>
              </w:rPr>
            </w:pPr>
            <w:r w:rsidRPr="00FE3F7D">
              <w:rPr>
                <w:color w:val="000000"/>
                <w:sz w:val="20"/>
                <w:szCs w:val="20"/>
              </w:rPr>
              <w:t>8660</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20"/>
                <w:szCs w:val="20"/>
              </w:rPr>
            </w:pPr>
            <w:r w:rsidRPr="00FE3F7D">
              <w:rPr>
                <w:color w:val="000000"/>
                <w:sz w:val="20"/>
                <w:szCs w:val="20"/>
              </w:rPr>
              <w:t>677</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20"/>
                <w:szCs w:val="20"/>
              </w:rPr>
            </w:pPr>
            <w:r w:rsidRPr="00FE3F7D">
              <w:rPr>
                <w:color w:val="000000"/>
                <w:sz w:val="20"/>
                <w:szCs w:val="20"/>
              </w:rPr>
              <w:t>0</w:t>
            </w:r>
          </w:p>
        </w:tc>
        <w:tc>
          <w:tcPr>
            <w:tcW w:w="90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20"/>
                <w:szCs w:val="20"/>
              </w:rPr>
            </w:pPr>
            <w:r w:rsidRPr="00FE3F7D">
              <w:rPr>
                <w:color w:val="000000"/>
                <w:sz w:val="20"/>
                <w:szCs w:val="20"/>
              </w:rPr>
              <w:t>4935</w:t>
            </w:r>
          </w:p>
        </w:tc>
        <w:tc>
          <w:tcPr>
            <w:tcW w:w="72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20"/>
                <w:szCs w:val="20"/>
              </w:rPr>
            </w:pPr>
            <w:r w:rsidRPr="00FE3F7D">
              <w:rPr>
                <w:color w:val="000000"/>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20"/>
                <w:szCs w:val="20"/>
              </w:rPr>
            </w:pPr>
            <w:r w:rsidRPr="00FE3F7D">
              <w:rPr>
                <w:color w:val="000000"/>
                <w:sz w:val="20"/>
                <w:szCs w:val="20"/>
              </w:rPr>
              <w:t>0</w:t>
            </w:r>
          </w:p>
        </w:tc>
        <w:tc>
          <w:tcPr>
            <w:tcW w:w="90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20"/>
                <w:szCs w:val="20"/>
              </w:rPr>
            </w:pPr>
            <w:r w:rsidRPr="00FE3F7D">
              <w:rPr>
                <w:color w:val="000000"/>
                <w:sz w:val="20"/>
                <w:szCs w:val="20"/>
              </w:rPr>
              <w:t>0</w:t>
            </w:r>
          </w:p>
        </w:tc>
        <w:tc>
          <w:tcPr>
            <w:tcW w:w="90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20"/>
                <w:szCs w:val="20"/>
              </w:rPr>
            </w:pPr>
            <w:r w:rsidRPr="00FE3F7D">
              <w:rPr>
                <w:color w:val="000000"/>
                <w:sz w:val="20"/>
                <w:szCs w:val="20"/>
              </w:rPr>
              <w:t>0</w:t>
            </w:r>
          </w:p>
        </w:tc>
        <w:tc>
          <w:tcPr>
            <w:tcW w:w="720" w:type="dxa"/>
            <w:tcBorders>
              <w:top w:val="single" w:sz="6" w:space="0" w:color="auto"/>
              <w:left w:val="single" w:sz="6" w:space="0" w:color="auto"/>
              <w:bottom w:val="single" w:sz="6" w:space="0" w:color="auto"/>
              <w:right w:val="single" w:sz="6" w:space="0" w:color="auto"/>
            </w:tcBorders>
          </w:tcPr>
          <w:p w:rsidR="004A2ECB" w:rsidRPr="006645E2" w:rsidRDefault="004A2ECB" w:rsidP="00FE3F7D">
            <w:pPr>
              <w:autoSpaceDE w:val="0"/>
              <w:autoSpaceDN w:val="0"/>
              <w:adjustRightInd w:val="0"/>
              <w:jc w:val="right"/>
              <w:rPr>
                <w:color w:val="000000"/>
                <w:sz w:val="20"/>
                <w:szCs w:val="20"/>
              </w:rPr>
            </w:pPr>
            <w:r w:rsidRPr="006645E2">
              <w:rPr>
                <w:color w:val="000000"/>
                <w:sz w:val="20"/>
                <w:szCs w:val="20"/>
              </w:rPr>
              <w:t>188</w:t>
            </w:r>
          </w:p>
        </w:tc>
        <w:tc>
          <w:tcPr>
            <w:tcW w:w="720" w:type="dxa"/>
            <w:tcBorders>
              <w:top w:val="single" w:sz="6" w:space="0" w:color="auto"/>
              <w:left w:val="single" w:sz="6" w:space="0" w:color="auto"/>
              <w:bottom w:val="single" w:sz="6" w:space="0" w:color="auto"/>
              <w:right w:val="single" w:sz="6" w:space="0" w:color="auto"/>
            </w:tcBorders>
          </w:tcPr>
          <w:p w:rsidR="004A2ECB" w:rsidRPr="006645E2" w:rsidRDefault="004A2ECB" w:rsidP="00FE3F7D">
            <w:pPr>
              <w:autoSpaceDE w:val="0"/>
              <w:autoSpaceDN w:val="0"/>
              <w:adjustRightInd w:val="0"/>
              <w:jc w:val="right"/>
              <w:rPr>
                <w:color w:val="000000"/>
                <w:sz w:val="20"/>
                <w:szCs w:val="20"/>
              </w:rPr>
            </w:pPr>
            <w:r w:rsidRPr="006645E2">
              <w:rPr>
                <w:color w:val="000000"/>
                <w:sz w:val="20"/>
                <w:szCs w:val="20"/>
              </w:rPr>
              <w:t>1606</w:t>
            </w:r>
          </w:p>
        </w:tc>
        <w:tc>
          <w:tcPr>
            <w:tcW w:w="888" w:type="dxa"/>
            <w:tcBorders>
              <w:top w:val="single" w:sz="6" w:space="0" w:color="auto"/>
              <w:left w:val="single" w:sz="6" w:space="0" w:color="auto"/>
              <w:bottom w:val="single" w:sz="6" w:space="0" w:color="auto"/>
              <w:right w:val="single" w:sz="6" w:space="0" w:color="auto"/>
            </w:tcBorders>
          </w:tcPr>
          <w:p w:rsidR="004A2ECB" w:rsidRPr="006645E2" w:rsidRDefault="004A2ECB" w:rsidP="00FE3F7D">
            <w:pPr>
              <w:autoSpaceDE w:val="0"/>
              <w:autoSpaceDN w:val="0"/>
              <w:adjustRightInd w:val="0"/>
              <w:jc w:val="right"/>
              <w:rPr>
                <w:color w:val="000000"/>
                <w:sz w:val="20"/>
                <w:szCs w:val="20"/>
              </w:rPr>
            </w:pPr>
            <w:r w:rsidRPr="006645E2">
              <w:rPr>
                <w:color w:val="000000"/>
                <w:sz w:val="20"/>
                <w:szCs w:val="20"/>
              </w:rPr>
              <w:t>1282</w:t>
            </w:r>
          </w:p>
        </w:tc>
        <w:tc>
          <w:tcPr>
            <w:tcW w:w="838" w:type="dxa"/>
            <w:tcBorders>
              <w:top w:val="single" w:sz="6" w:space="0" w:color="auto"/>
              <w:left w:val="single" w:sz="6" w:space="0" w:color="auto"/>
              <w:bottom w:val="single" w:sz="6" w:space="0" w:color="auto"/>
              <w:right w:val="single" w:sz="6" w:space="0" w:color="auto"/>
            </w:tcBorders>
          </w:tcPr>
          <w:p w:rsidR="004A2ECB" w:rsidRPr="006645E2" w:rsidRDefault="004A2ECB" w:rsidP="00FE3F7D">
            <w:pPr>
              <w:autoSpaceDE w:val="0"/>
              <w:autoSpaceDN w:val="0"/>
              <w:adjustRightInd w:val="0"/>
              <w:jc w:val="right"/>
              <w:rPr>
                <w:color w:val="000000"/>
                <w:sz w:val="20"/>
                <w:szCs w:val="20"/>
              </w:rPr>
            </w:pPr>
            <w:r w:rsidRPr="006645E2">
              <w:rPr>
                <w:color w:val="000000"/>
                <w:sz w:val="20"/>
                <w:szCs w:val="20"/>
              </w:rPr>
              <w:t>0</w:t>
            </w:r>
          </w:p>
        </w:tc>
      </w:tr>
      <w:tr w:rsidR="00AB7C54" w:rsidRPr="00AD151D" w:rsidTr="00277DC8">
        <w:trPr>
          <w:trHeight w:val="290"/>
        </w:trPr>
        <w:tc>
          <w:tcPr>
            <w:tcW w:w="2128" w:type="dxa"/>
            <w:tcBorders>
              <w:top w:val="nil"/>
              <w:left w:val="single" w:sz="6" w:space="0" w:color="auto"/>
              <w:bottom w:val="nil"/>
              <w:right w:val="single" w:sz="6" w:space="0" w:color="auto"/>
            </w:tcBorders>
          </w:tcPr>
          <w:p w:rsidR="004A2ECB" w:rsidRPr="00FE3F7D" w:rsidRDefault="004A2ECB" w:rsidP="00FE3F7D">
            <w:pPr>
              <w:autoSpaceDE w:val="0"/>
              <w:autoSpaceDN w:val="0"/>
              <w:adjustRightInd w:val="0"/>
              <w:rPr>
                <w:color w:val="000000"/>
                <w:sz w:val="20"/>
                <w:szCs w:val="20"/>
              </w:rPr>
            </w:pPr>
            <w:r w:rsidRPr="00FE3F7D">
              <w:rPr>
                <w:color w:val="000000"/>
                <w:sz w:val="20"/>
                <w:szCs w:val="20"/>
              </w:rPr>
              <w:t>Other</w:t>
            </w:r>
          </w:p>
        </w:tc>
        <w:tc>
          <w:tcPr>
            <w:tcW w:w="99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20"/>
                <w:szCs w:val="20"/>
              </w:rPr>
            </w:pPr>
            <w:r w:rsidRPr="00FE3F7D">
              <w:rPr>
                <w:color w:val="000000"/>
                <w:sz w:val="20"/>
                <w:szCs w:val="20"/>
              </w:rPr>
              <w:t>16422</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20"/>
                <w:szCs w:val="20"/>
              </w:rPr>
            </w:pPr>
            <w:r w:rsidRPr="00FE3F7D">
              <w:rPr>
                <w:color w:val="000000"/>
                <w:sz w:val="20"/>
                <w:szCs w:val="20"/>
              </w:rPr>
              <w:t>1522</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20"/>
                <w:szCs w:val="20"/>
              </w:rPr>
            </w:pPr>
            <w:r w:rsidRPr="00FE3F7D">
              <w:rPr>
                <w:color w:val="000000"/>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20"/>
                <w:szCs w:val="20"/>
              </w:rPr>
            </w:pPr>
            <w:r w:rsidRPr="00FE3F7D">
              <w:rPr>
                <w:color w:val="000000"/>
                <w:sz w:val="20"/>
                <w:szCs w:val="20"/>
              </w:rPr>
              <w:t>70</w:t>
            </w:r>
          </w:p>
        </w:tc>
        <w:tc>
          <w:tcPr>
            <w:tcW w:w="90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20"/>
                <w:szCs w:val="20"/>
              </w:rPr>
            </w:pPr>
            <w:r w:rsidRPr="00FE3F7D">
              <w:rPr>
                <w:color w:val="000000"/>
                <w:sz w:val="20"/>
                <w:szCs w:val="20"/>
              </w:rPr>
              <w:t>981</w:t>
            </w:r>
          </w:p>
        </w:tc>
        <w:tc>
          <w:tcPr>
            <w:tcW w:w="72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20"/>
                <w:szCs w:val="20"/>
              </w:rPr>
            </w:pPr>
            <w:r w:rsidRPr="00FE3F7D">
              <w:rPr>
                <w:color w:val="000000"/>
                <w:sz w:val="20"/>
                <w:szCs w:val="20"/>
              </w:rPr>
              <w:t>352</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20"/>
                <w:szCs w:val="20"/>
              </w:rPr>
            </w:pPr>
            <w:r w:rsidRPr="00FE3F7D">
              <w:rPr>
                <w:color w:val="000000"/>
                <w:sz w:val="20"/>
                <w:szCs w:val="20"/>
              </w:rPr>
              <w:t>2096</w:t>
            </w:r>
          </w:p>
        </w:tc>
        <w:tc>
          <w:tcPr>
            <w:tcW w:w="90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20"/>
                <w:szCs w:val="20"/>
              </w:rPr>
            </w:pPr>
            <w:r w:rsidRPr="00FE3F7D">
              <w:rPr>
                <w:color w:val="000000"/>
                <w:sz w:val="20"/>
                <w:szCs w:val="20"/>
              </w:rPr>
              <w:t>528</w:t>
            </w:r>
          </w:p>
        </w:tc>
        <w:tc>
          <w:tcPr>
            <w:tcW w:w="90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20"/>
                <w:szCs w:val="20"/>
              </w:rPr>
            </w:pPr>
            <w:r w:rsidRPr="00FE3F7D">
              <w:rPr>
                <w:color w:val="000000"/>
                <w:sz w:val="20"/>
                <w:szCs w:val="20"/>
              </w:rPr>
              <w:t>2151</w:t>
            </w:r>
          </w:p>
        </w:tc>
        <w:tc>
          <w:tcPr>
            <w:tcW w:w="720" w:type="dxa"/>
            <w:tcBorders>
              <w:top w:val="single" w:sz="6" w:space="0" w:color="auto"/>
              <w:left w:val="single" w:sz="6" w:space="0" w:color="auto"/>
              <w:bottom w:val="single" w:sz="6" w:space="0" w:color="auto"/>
              <w:right w:val="single" w:sz="6" w:space="0" w:color="auto"/>
            </w:tcBorders>
          </w:tcPr>
          <w:p w:rsidR="004A2ECB" w:rsidRPr="006645E2" w:rsidRDefault="004A2ECB" w:rsidP="00FE3F7D">
            <w:pPr>
              <w:autoSpaceDE w:val="0"/>
              <w:autoSpaceDN w:val="0"/>
              <w:adjustRightInd w:val="0"/>
              <w:jc w:val="right"/>
              <w:rPr>
                <w:color w:val="000000"/>
                <w:sz w:val="20"/>
                <w:szCs w:val="20"/>
              </w:rPr>
            </w:pPr>
            <w:r w:rsidRPr="006645E2">
              <w:rPr>
                <w:color w:val="000000"/>
                <w:sz w:val="20"/>
                <w:szCs w:val="20"/>
              </w:rPr>
              <w:t>470</w:t>
            </w:r>
          </w:p>
        </w:tc>
        <w:tc>
          <w:tcPr>
            <w:tcW w:w="720" w:type="dxa"/>
            <w:tcBorders>
              <w:top w:val="single" w:sz="6" w:space="0" w:color="auto"/>
              <w:left w:val="single" w:sz="6" w:space="0" w:color="auto"/>
              <w:bottom w:val="single" w:sz="6" w:space="0" w:color="auto"/>
              <w:right w:val="single" w:sz="6" w:space="0" w:color="auto"/>
            </w:tcBorders>
          </w:tcPr>
          <w:p w:rsidR="004A2ECB" w:rsidRPr="006645E2" w:rsidRDefault="004A2ECB" w:rsidP="00FE3F7D">
            <w:pPr>
              <w:autoSpaceDE w:val="0"/>
              <w:autoSpaceDN w:val="0"/>
              <w:adjustRightInd w:val="0"/>
              <w:jc w:val="right"/>
              <w:rPr>
                <w:color w:val="000000"/>
                <w:sz w:val="20"/>
                <w:szCs w:val="20"/>
              </w:rPr>
            </w:pPr>
            <w:r w:rsidRPr="006645E2">
              <w:rPr>
                <w:color w:val="000000"/>
                <w:sz w:val="20"/>
                <w:szCs w:val="20"/>
              </w:rPr>
              <w:t>1911</w:t>
            </w:r>
          </w:p>
        </w:tc>
        <w:tc>
          <w:tcPr>
            <w:tcW w:w="888" w:type="dxa"/>
            <w:tcBorders>
              <w:top w:val="single" w:sz="6" w:space="0" w:color="auto"/>
              <w:left w:val="single" w:sz="6" w:space="0" w:color="auto"/>
              <w:bottom w:val="single" w:sz="6" w:space="0" w:color="auto"/>
              <w:right w:val="single" w:sz="6" w:space="0" w:color="auto"/>
            </w:tcBorders>
          </w:tcPr>
          <w:p w:rsidR="004A2ECB" w:rsidRPr="006645E2" w:rsidRDefault="004A2ECB" w:rsidP="00FE3F7D">
            <w:pPr>
              <w:autoSpaceDE w:val="0"/>
              <w:autoSpaceDN w:val="0"/>
              <w:adjustRightInd w:val="0"/>
              <w:jc w:val="right"/>
              <w:rPr>
                <w:color w:val="000000"/>
                <w:sz w:val="20"/>
                <w:szCs w:val="20"/>
              </w:rPr>
            </w:pPr>
            <w:r w:rsidRPr="006645E2">
              <w:rPr>
                <w:color w:val="000000"/>
                <w:sz w:val="20"/>
                <w:szCs w:val="20"/>
              </w:rPr>
              <w:t>201</w:t>
            </w:r>
          </w:p>
        </w:tc>
        <w:tc>
          <w:tcPr>
            <w:tcW w:w="838" w:type="dxa"/>
            <w:tcBorders>
              <w:top w:val="single" w:sz="6" w:space="0" w:color="auto"/>
              <w:left w:val="single" w:sz="6" w:space="0" w:color="auto"/>
              <w:bottom w:val="single" w:sz="6" w:space="0" w:color="auto"/>
              <w:right w:val="single" w:sz="6" w:space="0" w:color="auto"/>
            </w:tcBorders>
          </w:tcPr>
          <w:p w:rsidR="004A2ECB" w:rsidRPr="006645E2" w:rsidRDefault="004A2ECB" w:rsidP="00FE3F7D">
            <w:pPr>
              <w:autoSpaceDE w:val="0"/>
              <w:autoSpaceDN w:val="0"/>
              <w:adjustRightInd w:val="0"/>
              <w:jc w:val="right"/>
              <w:rPr>
                <w:color w:val="000000"/>
                <w:sz w:val="20"/>
                <w:szCs w:val="20"/>
              </w:rPr>
            </w:pPr>
            <w:r w:rsidRPr="006645E2">
              <w:rPr>
                <w:color w:val="000000"/>
                <w:sz w:val="20"/>
                <w:szCs w:val="20"/>
              </w:rPr>
              <w:t>6140</w:t>
            </w:r>
          </w:p>
        </w:tc>
      </w:tr>
      <w:tr w:rsidR="00AB7C54" w:rsidRPr="00AD151D" w:rsidTr="00277DC8">
        <w:trPr>
          <w:trHeight w:val="290"/>
        </w:trPr>
        <w:tc>
          <w:tcPr>
            <w:tcW w:w="2128"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rPr>
                <w:color w:val="000000"/>
                <w:sz w:val="20"/>
                <w:szCs w:val="20"/>
              </w:rPr>
            </w:pPr>
            <w:r w:rsidRPr="00FE3F7D">
              <w:rPr>
                <w:color w:val="000000"/>
                <w:sz w:val="20"/>
                <w:szCs w:val="20"/>
              </w:rPr>
              <w:t>Total</w:t>
            </w:r>
          </w:p>
        </w:tc>
        <w:tc>
          <w:tcPr>
            <w:tcW w:w="99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20"/>
                <w:szCs w:val="20"/>
              </w:rPr>
            </w:pPr>
            <w:r w:rsidRPr="00FE3F7D">
              <w:rPr>
                <w:color w:val="000000"/>
                <w:sz w:val="20"/>
                <w:szCs w:val="20"/>
              </w:rPr>
              <w:t>1350908</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20"/>
                <w:szCs w:val="20"/>
              </w:rPr>
            </w:pPr>
            <w:r w:rsidRPr="00FE3F7D">
              <w:rPr>
                <w:color w:val="000000"/>
                <w:sz w:val="20"/>
                <w:szCs w:val="20"/>
              </w:rPr>
              <w:t>66594</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20"/>
                <w:szCs w:val="20"/>
              </w:rPr>
            </w:pPr>
            <w:r w:rsidRPr="00FE3F7D">
              <w:rPr>
                <w:color w:val="000000"/>
                <w:sz w:val="20"/>
                <w:szCs w:val="20"/>
              </w:rPr>
              <w:t>15594</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20"/>
                <w:szCs w:val="20"/>
              </w:rPr>
            </w:pPr>
            <w:r w:rsidRPr="00FE3F7D">
              <w:rPr>
                <w:color w:val="000000"/>
                <w:sz w:val="20"/>
                <w:szCs w:val="20"/>
              </w:rPr>
              <w:t>79040</w:t>
            </w:r>
          </w:p>
        </w:tc>
        <w:tc>
          <w:tcPr>
            <w:tcW w:w="90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20"/>
                <w:szCs w:val="20"/>
              </w:rPr>
            </w:pPr>
            <w:r w:rsidRPr="00FE3F7D">
              <w:rPr>
                <w:color w:val="000000"/>
                <w:sz w:val="20"/>
                <w:szCs w:val="20"/>
              </w:rPr>
              <w:t>120821</w:t>
            </w:r>
          </w:p>
        </w:tc>
        <w:tc>
          <w:tcPr>
            <w:tcW w:w="72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20"/>
                <w:szCs w:val="20"/>
              </w:rPr>
            </w:pPr>
            <w:r w:rsidRPr="00FE3F7D">
              <w:rPr>
                <w:color w:val="000000"/>
                <w:sz w:val="20"/>
                <w:szCs w:val="20"/>
              </w:rPr>
              <w:t>77786</w:t>
            </w:r>
          </w:p>
        </w:tc>
        <w:tc>
          <w:tcPr>
            <w:tcW w:w="81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20"/>
                <w:szCs w:val="20"/>
              </w:rPr>
            </w:pPr>
            <w:r w:rsidRPr="00FE3F7D">
              <w:rPr>
                <w:color w:val="000000"/>
                <w:sz w:val="20"/>
                <w:szCs w:val="20"/>
              </w:rPr>
              <w:t>97420</w:t>
            </w:r>
          </w:p>
        </w:tc>
        <w:tc>
          <w:tcPr>
            <w:tcW w:w="90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20"/>
                <w:szCs w:val="20"/>
              </w:rPr>
            </w:pPr>
            <w:r w:rsidRPr="00FE3F7D">
              <w:rPr>
                <w:color w:val="000000"/>
                <w:sz w:val="20"/>
                <w:szCs w:val="20"/>
              </w:rPr>
              <w:t>179694</w:t>
            </w:r>
          </w:p>
        </w:tc>
        <w:tc>
          <w:tcPr>
            <w:tcW w:w="900" w:type="dxa"/>
            <w:tcBorders>
              <w:top w:val="single" w:sz="6" w:space="0" w:color="auto"/>
              <w:left w:val="single" w:sz="6" w:space="0" w:color="auto"/>
              <w:bottom w:val="single" w:sz="6" w:space="0" w:color="auto"/>
              <w:right w:val="single" w:sz="6" w:space="0" w:color="auto"/>
            </w:tcBorders>
          </w:tcPr>
          <w:p w:rsidR="004A2ECB" w:rsidRPr="00FE3F7D" w:rsidRDefault="004A2ECB" w:rsidP="00FE3F7D">
            <w:pPr>
              <w:autoSpaceDE w:val="0"/>
              <w:autoSpaceDN w:val="0"/>
              <w:adjustRightInd w:val="0"/>
              <w:jc w:val="right"/>
              <w:rPr>
                <w:color w:val="000000"/>
                <w:sz w:val="20"/>
                <w:szCs w:val="20"/>
              </w:rPr>
            </w:pPr>
            <w:r w:rsidRPr="00FE3F7D">
              <w:rPr>
                <w:color w:val="000000"/>
                <w:sz w:val="20"/>
                <w:szCs w:val="20"/>
              </w:rPr>
              <w:t>225608</w:t>
            </w:r>
          </w:p>
        </w:tc>
        <w:tc>
          <w:tcPr>
            <w:tcW w:w="720" w:type="dxa"/>
            <w:tcBorders>
              <w:top w:val="single" w:sz="6" w:space="0" w:color="auto"/>
              <w:left w:val="single" w:sz="6" w:space="0" w:color="auto"/>
              <w:bottom w:val="single" w:sz="6" w:space="0" w:color="auto"/>
              <w:right w:val="single" w:sz="6" w:space="0" w:color="auto"/>
            </w:tcBorders>
          </w:tcPr>
          <w:p w:rsidR="004A2ECB" w:rsidRPr="006645E2" w:rsidRDefault="004A2ECB" w:rsidP="00FE3F7D">
            <w:pPr>
              <w:autoSpaceDE w:val="0"/>
              <w:autoSpaceDN w:val="0"/>
              <w:adjustRightInd w:val="0"/>
              <w:jc w:val="right"/>
              <w:rPr>
                <w:color w:val="000000"/>
                <w:sz w:val="20"/>
                <w:szCs w:val="20"/>
              </w:rPr>
            </w:pPr>
            <w:r w:rsidRPr="006645E2">
              <w:rPr>
                <w:color w:val="000000"/>
                <w:sz w:val="20"/>
                <w:szCs w:val="20"/>
              </w:rPr>
              <w:t>127208</w:t>
            </w:r>
          </w:p>
        </w:tc>
        <w:tc>
          <w:tcPr>
            <w:tcW w:w="720" w:type="dxa"/>
            <w:tcBorders>
              <w:top w:val="single" w:sz="6" w:space="0" w:color="auto"/>
              <w:left w:val="single" w:sz="6" w:space="0" w:color="auto"/>
              <w:bottom w:val="single" w:sz="6" w:space="0" w:color="auto"/>
              <w:right w:val="single" w:sz="6" w:space="0" w:color="auto"/>
            </w:tcBorders>
          </w:tcPr>
          <w:p w:rsidR="004A2ECB" w:rsidRPr="006645E2" w:rsidRDefault="004A2ECB" w:rsidP="00FE3F7D">
            <w:pPr>
              <w:autoSpaceDE w:val="0"/>
              <w:autoSpaceDN w:val="0"/>
              <w:adjustRightInd w:val="0"/>
              <w:jc w:val="right"/>
              <w:rPr>
                <w:color w:val="000000"/>
                <w:sz w:val="20"/>
                <w:szCs w:val="20"/>
              </w:rPr>
            </w:pPr>
            <w:r w:rsidRPr="006645E2">
              <w:rPr>
                <w:color w:val="000000"/>
                <w:sz w:val="20"/>
                <w:szCs w:val="20"/>
              </w:rPr>
              <w:t>124740</w:t>
            </w:r>
          </w:p>
        </w:tc>
        <w:tc>
          <w:tcPr>
            <w:tcW w:w="888" w:type="dxa"/>
            <w:tcBorders>
              <w:top w:val="single" w:sz="6" w:space="0" w:color="auto"/>
              <w:left w:val="single" w:sz="6" w:space="0" w:color="auto"/>
              <w:bottom w:val="single" w:sz="6" w:space="0" w:color="auto"/>
              <w:right w:val="single" w:sz="6" w:space="0" w:color="auto"/>
            </w:tcBorders>
          </w:tcPr>
          <w:p w:rsidR="004A2ECB" w:rsidRPr="006645E2" w:rsidRDefault="004A2ECB" w:rsidP="00FE3F7D">
            <w:pPr>
              <w:autoSpaceDE w:val="0"/>
              <w:autoSpaceDN w:val="0"/>
              <w:adjustRightInd w:val="0"/>
              <w:jc w:val="right"/>
              <w:rPr>
                <w:color w:val="000000"/>
                <w:sz w:val="20"/>
                <w:szCs w:val="20"/>
              </w:rPr>
            </w:pPr>
            <w:r w:rsidRPr="006645E2">
              <w:rPr>
                <w:color w:val="000000"/>
                <w:sz w:val="20"/>
                <w:szCs w:val="20"/>
              </w:rPr>
              <w:t>114150</w:t>
            </w:r>
          </w:p>
        </w:tc>
        <w:tc>
          <w:tcPr>
            <w:tcW w:w="838" w:type="dxa"/>
            <w:tcBorders>
              <w:top w:val="single" w:sz="6" w:space="0" w:color="auto"/>
              <w:left w:val="single" w:sz="6" w:space="0" w:color="auto"/>
              <w:bottom w:val="single" w:sz="6" w:space="0" w:color="auto"/>
              <w:right w:val="single" w:sz="6" w:space="0" w:color="auto"/>
            </w:tcBorders>
          </w:tcPr>
          <w:p w:rsidR="004A2ECB" w:rsidRPr="006645E2" w:rsidRDefault="004A2ECB" w:rsidP="00FE3F7D">
            <w:pPr>
              <w:autoSpaceDE w:val="0"/>
              <w:autoSpaceDN w:val="0"/>
              <w:adjustRightInd w:val="0"/>
              <w:jc w:val="right"/>
              <w:rPr>
                <w:color w:val="000000"/>
                <w:sz w:val="20"/>
                <w:szCs w:val="20"/>
              </w:rPr>
            </w:pPr>
            <w:r w:rsidRPr="006645E2">
              <w:rPr>
                <w:color w:val="000000"/>
                <w:sz w:val="20"/>
                <w:szCs w:val="20"/>
              </w:rPr>
              <w:t>122253</w:t>
            </w:r>
          </w:p>
        </w:tc>
      </w:tr>
    </w:tbl>
    <w:p w:rsidR="004A2ECB" w:rsidRPr="00277DC8" w:rsidRDefault="00AB7C54" w:rsidP="009B4E2A">
      <w:pPr>
        <w:keepNext/>
        <w:keepLines/>
        <w:spacing w:before="120"/>
        <w:rPr>
          <w:sz w:val="20"/>
          <w:szCs w:val="20"/>
        </w:rPr>
      </w:pPr>
      <w:r w:rsidRPr="00277DC8">
        <w:rPr>
          <w:sz w:val="20"/>
          <w:szCs w:val="20"/>
        </w:rPr>
        <w:t>Source: ExD reports downloaded from CAISO website</w:t>
      </w:r>
    </w:p>
    <w:sectPr w:rsidR="004A2ECB" w:rsidRPr="00277DC8" w:rsidSect="00997EC4">
      <w:footerReference w:type="default" r:id="rId2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04B" w:rsidRDefault="00C2504B">
      <w:r>
        <w:separator/>
      </w:r>
    </w:p>
  </w:endnote>
  <w:endnote w:type="continuationSeparator" w:id="0">
    <w:p w:rsidR="00C2504B" w:rsidRDefault="00C2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04B" w:rsidRDefault="00C250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504B" w:rsidRDefault="00C250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04B" w:rsidRDefault="00C2504B" w:rsidP="00A54B87">
    <w:pPr>
      <w:pStyle w:val="Footer"/>
    </w:pPr>
    <w:r>
      <w:t xml:space="preserve">February </w:t>
    </w:r>
    <w:r w:rsidR="00B3535E">
      <w:t>5</w:t>
    </w:r>
    <w:r>
      <w:t>, 2013</w:t>
    </w:r>
  </w:p>
  <w:p w:rsidR="00C2504B" w:rsidRDefault="00B3535E">
    <w:pPr>
      <w:pStyle w:val="Footer"/>
      <w:jc w:val="right"/>
    </w:pPr>
    <w:sdt>
      <w:sdtPr>
        <w:id w:val="1672451115"/>
        <w:docPartObj>
          <w:docPartGallery w:val="Page Numbers (Bottom of Page)"/>
          <w:docPartUnique/>
        </w:docPartObj>
      </w:sdtPr>
      <w:sdtEndPr>
        <w:rPr>
          <w:noProof/>
        </w:rPr>
      </w:sdtEndPr>
      <w:sdtContent>
        <w:r w:rsidR="00C2504B">
          <w:fldChar w:fldCharType="begin"/>
        </w:r>
        <w:r w:rsidR="00C2504B">
          <w:instrText xml:space="preserve"> PAGE   \* MERGEFORMAT </w:instrText>
        </w:r>
        <w:r w:rsidR="00C2504B">
          <w:fldChar w:fldCharType="separate"/>
        </w:r>
        <w:r>
          <w:rPr>
            <w:noProof/>
          </w:rPr>
          <w:t>27</w:t>
        </w:r>
        <w:r w:rsidR="00C2504B">
          <w:rPr>
            <w:noProof/>
          </w:rPr>
          <w:fldChar w:fldCharType="end"/>
        </w:r>
      </w:sdtContent>
    </w:sdt>
  </w:p>
  <w:p w:rsidR="00C2504B" w:rsidRDefault="00C2504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04B" w:rsidRDefault="00C2504B">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B3535E">
      <w:rPr>
        <w:rStyle w:val="PageNumber"/>
        <w:noProof/>
      </w:rPr>
      <w:t>33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04B" w:rsidRDefault="00C2504B">
      <w:r>
        <w:separator/>
      </w:r>
    </w:p>
  </w:footnote>
  <w:footnote w:type="continuationSeparator" w:id="0">
    <w:p w:rsidR="00C2504B" w:rsidRDefault="00C2504B">
      <w:r>
        <w:continuationSeparator/>
      </w:r>
    </w:p>
  </w:footnote>
  <w:footnote w:id="1">
    <w:p w:rsidR="00C2504B" w:rsidRDefault="00C2504B">
      <w:pPr>
        <w:pStyle w:val="FootnoteText"/>
      </w:pPr>
      <w:r>
        <w:rPr>
          <w:rStyle w:val="FootnoteReference"/>
        </w:rPr>
        <w:footnoteRef/>
      </w:r>
      <w:r>
        <w:t xml:space="preserve"> Commission Jurisdictional LSEs include all Investor Owned Utilities (IOUs) Electricity Service Providers (ESPs) and Community Choice Aggregators (CCAs)</w:t>
      </w:r>
    </w:p>
  </w:footnote>
  <w:footnote w:id="2">
    <w:p w:rsidR="00C2504B" w:rsidRDefault="00C2504B" w:rsidP="00F4122E">
      <w:pPr>
        <w:pStyle w:val="FootnoteText"/>
      </w:pPr>
      <w:r>
        <w:rPr>
          <w:rStyle w:val="FootnoteReference"/>
        </w:rPr>
        <w:footnoteRef/>
      </w:r>
      <w:r>
        <w:t xml:space="preserve"> </w:t>
      </w:r>
      <w:r>
        <w:fldChar w:fldCharType="begin"/>
      </w:r>
      <w:r>
        <w:instrText xml:space="preserve"> REF _Ref347420896 \h </w:instrText>
      </w:r>
      <w:r>
        <w:fldChar w:fldCharType="separate"/>
      </w:r>
      <w:r w:rsidRPr="00AD151D">
        <w:t xml:space="preserve">Figure </w:t>
      </w:r>
      <w:r>
        <w:rPr>
          <w:noProof/>
        </w:rPr>
        <w:t>2</w:t>
      </w:r>
      <w:r w:rsidRPr="00AD151D">
        <w:t>. Total CAISO Summer 2011 Forward Procurement Obligation and Forward Procurement vs. LSE Demand Forecast and Actual Monthly Peak Demand (MW)</w:t>
      </w:r>
      <w:r>
        <w:fldChar w:fldCharType="end"/>
      </w:r>
      <w:r>
        <w:t>pg. 14</w:t>
      </w:r>
    </w:p>
  </w:footnote>
  <w:footnote w:id="3">
    <w:p w:rsidR="00C2504B" w:rsidRDefault="00C2504B" w:rsidP="005D1B72">
      <w:pPr>
        <w:pStyle w:val="FootnoteText"/>
      </w:pPr>
      <w:r>
        <w:rPr>
          <w:rStyle w:val="FootnoteReference"/>
        </w:rPr>
        <w:footnoteRef/>
      </w:r>
      <w:r>
        <w:t xml:space="preserve"> Ibid.</w:t>
      </w:r>
    </w:p>
  </w:footnote>
  <w:footnote w:id="4">
    <w:p w:rsidR="00C2504B" w:rsidRDefault="00C2504B" w:rsidP="005D1B72">
      <w:pPr>
        <w:pStyle w:val="FootnoteText"/>
      </w:pPr>
      <w:r>
        <w:rPr>
          <w:rStyle w:val="FootnoteReference"/>
        </w:rPr>
        <w:footnoteRef/>
      </w:r>
      <w:r>
        <w:fldChar w:fldCharType="begin"/>
      </w:r>
      <w:r>
        <w:instrText xml:space="preserve"> REF _Ref347421662 \h </w:instrText>
      </w:r>
      <w:r>
        <w:fldChar w:fldCharType="separate"/>
      </w:r>
      <w:r w:rsidRPr="00AD151D">
        <w:rPr>
          <w:sz w:val="22"/>
        </w:rPr>
        <w:t xml:space="preserve">Table </w:t>
      </w:r>
      <w:r>
        <w:rPr>
          <w:noProof/>
          <w:sz w:val="22"/>
        </w:rPr>
        <w:t>4</w:t>
      </w:r>
      <w:r w:rsidRPr="00AD151D">
        <w:rPr>
          <w:sz w:val="22"/>
        </w:rPr>
        <w:t>. 2011 RA Filing Summary - CPUC Jurisdictional Entities (MWs)</w:t>
      </w:r>
      <w:r>
        <w:fldChar w:fldCharType="end"/>
      </w:r>
      <w:r>
        <w:t xml:space="preserve"> pg. 11</w:t>
      </w:r>
    </w:p>
  </w:footnote>
  <w:footnote w:id="5">
    <w:p w:rsidR="00C2504B" w:rsidRDefault="00C2504B">
      <w:pPr>
        <w:pStyle w:val="FootnoteText"/>
      </w:pPr>
      <w:r>
        <w:rPr>
          <w:rStyle w:val="FootnoteReference"/>
        </w:rPr>
        <w:footnoteRef/>
      </w:r>
      <w:r>
        <w:t xml:space="preserve"> </w:t>
      </w:r>
      <w:r>
        <w:fldChar w:fldCharType="begin"/>
      </w:r>
      <w:r>
        <w:instrText xml:space="preserve"> REF _Ref347421466 \h </w:instrText>
      </w:r>
      <w:r>
        <w:fldChar w:fldCharType="separate"/>
      </w:r>
      <w:r w:rsidRPr="00AD151D">
        <w:t xml:space="preserve">Figure </w:t>
      </w:r>
      <w:r>
        <w:rPr>
          <w:noProof/>
        </w:rPr>
        <w:t>2</w:t>
      </w:r>
      <w:r w:rsidRPr="00AD151D">
        <w:t>. Total CAISO Summer 2011 Forward Procurement Obligation and Forward Procurement vs. LSE Demand Forecast and Actual Monthly Peak Demand (MW)</w:t>
      </w:r>
      <w:r>
        <w:fldChar w:fldCharType="end"/>
      </w:r>
      <w:r>
        <w:t>Pg. 14</w:t>
      </w:r>
    </w:p>
  </w:footnote>
  <w:footnote w:id="6">
    <w:p w:rsidR="00C2504B" w:rsidRDefault="00C2504B" w:rsidP="00732319">
      <w:pPr>
        <w:pStyle w:val="FootnoteText"/>
      </w:pPr>
      <w:r>
        <w:rPr>
          <w:rStyle w:val="FootnoteReference"/>
        </w:rPr>
        <w:footnoteRef/>
      </w:r>
      <w:r>
        <w:t xml:space="preserve"> </w:t>
      </w:r>
      <w:r>
        <w:fldChar w:fldCharType="begin"/>
      </w:r>
      <w:r>
        <w:instrText xml:space="preserve"> REF _Ref347421511 \h </w:instrText>
      </w:r>
      <w:r>
        <w:fldChar w:fldCharType="separate"/>
      </w:r>
      <w:r w:rsidRPr="00AD151D">
        <w:rPr>
          <w:sz w:val="22"/>
        </w:rPr>
        <w:t xml:space="preserve">Table </w:t>
      </w:r>
      <w:r>
        <w:rPr>
          <w:noProof/>
          <w:sz w:val="22"/>
        </w:rPr>
        <w:t>4</w:t>
      </w:r>
      <w:r w:rsidRPr="00AD151D">
        <w:rPr>
          <w:sz w:val="22"/>
        </w:rPr>
        <w:t>. 2011 RA Filing Summary - CPUC Jurisdictional Entities (MWs)</w:t>
      </w:r>
      <w:r>
        <w:fldChar w:fldCharType="end"/>
      </w:r>
      <w:r>
        <w:t xml:space="preserve"> pg. 11</w:t>
      </w:r>
    </w:p>
    <w:p w:rsidR="00C2504B" w:rsidRDefault="00C2504B">
      <w:pPr>
        <w:pStyle w:val="FootnoteText"/>
      </w:pPr>
    </w:p>
  </w:footnote>
  <w:footnote w:id="7">
    <w:p w:rsidR="00C2504B" w:rsidRDefault="00C2504B">
      <w:pPr>
        <w:pStyle w:val="FootnoteText"/>
      </w:pPr>
      <w:r>
        <w:rPr>
          <w:rStyle w:val="FootnoteReference"/>
        </w:rPr>
        <w:footnoteRef/>
      </w:r>
      <w:r>
        <w:t xml:space="preserve"> Ibid.</w:t>
      </w:r>
    </w:p>
  </w:footnote>
  <w:footnote w:id="8">
    <w:p w:rsidR="00C2504B" w:rsidRDefault="00C2504B" w:rsidP="00EE6A9F">
      <w:pPr>
        <w:pStyle w:val="FootnoteText"/>
      </w:pPr>
      <w:r>
        <w:rPr>
          <w:rStyle w:val="FootnoteReference"/>
        </w:rPr>
        <w:footnoteRef/>
      </w:r>
      <w:r>
        <w:t xml:space="preserve"> 2011 Annual Local CPUC Filings </w:t>
      </w:r>
    </w:p>
  </w:footnote>
  <w:footnote w:id="9">
    <w:p w:rsidR="00C2504B" w:rsidRPr="003A49CB" w:rsidRDefault="00C2504B">
      <w:pPr>
        <w:pStyle w:val="FootnoteText"/>
      </w:pPr>
      <w:r w:rsidRPr="003A49CB">
        <w:rPr>
          <w:rStyle w:val="FootnoteReference"/>
        </w:rPr>
        <w:footnoteRef/>
      </w:r>
      <w:r w:rsidRPr="003A49CB">
        <w:t xml:space="preserve"> The Local RA shown does not include DR, RMR, and CAM resources as these resources are used to reduce an LSE’s Local RA obligation.  See Table 5</w:t>
      </w:r>
    </w:p>
  </w:footnote>
  <w:footnote w:id="10">
    <w:p w:rsidR="00C2504B" w:rsidRPr="003A49CB" w:rsidRDefault="00C2504B" w:rsidP="00A60437">
      <w:pPr>
        <w:pStyle w:val="FootnoteText"/>
      </w:pPr>
      <w:r w:rsidRPr="003A49CB">
        <w:rPr>
          <w:rStyle w:val="FootnoteReference"/>
        </w:rPr>
        <w:footnoteRef/>
      </w:r>
      <w:r w:rsidRPr="003A49CB">
        <w:t xml:space="preserve"> To correct LSE estimations of customer retention, the CEC prepares a plausibility adjustment that properly estimates customer retention by certain LSEs.</w:t>
      </w:r>
    </w:p>
  </w:footnote>
  <w:footnote w:id="11">
    <w:p w:rsidR="00C2504B" w:rsidRPr="003A49CB" w:rsidRDefault="00C2504B">
      <w:pPr>
        <w:pStyle w:val="FootnoteText"/>
      </w:pPr>
      <w:r w:rsidRPr="003A49CB">
        <w:rPr>
          <w:rStyle w:val="FootnoteReference"/>
        </w:rPr>
        <w:footnoteRef/>
      </w:r>
      <w:r w:rsidRPr="003A49CB">
        <w:rPr>
          <w:bCs/>
          <w:color w:val="000000"/>
        </w:rPr>
        <w:fldChar w:fldCharType="begin"/>
      </w:r>
      <w:r w:rsidRPr="003A49CB">
        <w:rPr>
          <w:bCs/>
          <w:color w:val="000000"/>
        </w:rPr>
        <w:instrText xml:space="preserve"> REF _Ref347420884 \h </w:instrText>
      </w:r>
      <w:r>
        <w:rPr>
          <w:bCs/>
          <w:color w:val="000000"/>
        </w:rPr>
        <w:instrText xml:space="preserve"> \* MERGEFORMAT </w:instrText>
      </w:r>
      <w:r w:rsidRPr="003A49CB">
        <w:rPr>
          <w:bCs/>
          <w:color w:val="000000"/>
        </w:rPr>
      </w:r>
      <w:r w:rsidRPr="003A49CB">
        <w:rPr>
          <w:bCs/>
          <w:color w:val="000000"/>
        </w:rPr>
        <w:fldChar w:fldCharType="separate"/>
      </w:r>
      <w:r w:rsidRPr="00277DC8">
        <w:t xml:space="preserve">Table </w:t>
      </w:r>
      <w:r w:rsidRPr="00277DC8">
        <w:rPr>
          <w:noProof/>
        </w:rPr>
        <w:t>6</w:t>
      </w:r>
      <w:r w:rsidRPr="00277DC8">
        <w:t xml:space="preserve"> </w:t>
      </w:r>
      <w:r w:rsidRPr="00277DC8">
        <w:rPr>
          <w:color w:val="000000"/>
        </w:rPr>
        <w:t>New Resources that came online in 2011 since the 2011 NQC list</w:t>
      </w:r>
      <w:r w:rsidRPr="003A49CB">
        <w:rPr>
          <w:bCs/>
          <w:color w:val="000000"/>
        </w:rPr>
        <w:fldChar w:fldCharType="end"/>
      </w:r>
      <w:r w:rsidRPr="003A49CB">
        <w:rPr>
          <w:bCs/>
          <w:color w:val="000000"/>
        </w:rPr>
        <w:t>. Pg. 13</w:t>
      </w:r>
    </w:p>
  </w:footnote>
  <w:footnote w:id="12">
    <w:p w:rsidR="00C2504B" w:rsidRPr="003A49CB" w:rsidRDefault="00C2504B">
      <w:pPr>
        <w:pStyle w:val="FootnoteText"/>
      </w:pPr>
      <w:r w:rsidRPr="003A49CB">
        <w:rPr>
          <w:rStyle w:val="FootnoteReference"/>
        </w:rPr>
        <w:footnoteRef/>
      </w:r>
      <w:r w:rsidRPr="003A49CB">
        <w:t xml:space="preserve"> Ibid.</w:t>
      </w:r>
    </w:p>
  </w:footnote>
  <w:footnote w:id="13">
    <w:p w:rsidR="00C2504B" w:rsidRDefault="00C2504B" w:rsidP="008E75C4">
      <w:pPr>
        <w:pStyle w:val="FootnoteText"/>
      </w:pPr>
      <w:r w:rsidRPr="003A49CB">
        <w:rPr>
          <w:rStyle w:val="FootnoteReference"/>
        </w:rPr>
        <w:footnoteRef/>
      </w:r>
      <w:r w:rsidRPr="003A49CB">
        <w:fldChar w:fldCharType="begin"/>
      </w:r>
      <w:r w:rsidRPr="003A49CB">
        <w:instrText xml:space="preserve"> REF _Ref347420883 \h </w:instrText>
      </w:r>
      <w:r>
        <w:instrText xml:space="preserve"> \* MERGEFORMAT </w:instrText>
      </w:r>
      <w:r w:rsidRPr="003A49CB">
        <w:fldChar w:fldCharType="separate"/>
      </w:r>
      <w:r w:rsidRPr="00277DC8">
        <w:t xml:space="preserve">Table </w:t>
      </w:r>
      <w:r w:rsidRPr="00277DC8">
        <w:rPr>
          <w:noProof/>
        </w:rPr>
        <w:t>7</w:t>
      </w:r>
      <w:r w:rsidRPr="00277DC8">
        <w:rPr>
          <w:color w:val="000000"/>
        </w:rPr>
        <w:t xml:space="preserve"> Resources that retired in 2011</w:t>
      </w:r>
      <w:r w:rsidRPr="003A49CB">
        <w:fldChar w:fldCharType="end"/>
      </w:r>
      <w:r w:rsidRPr="003A49CB">
        <w:t>. Pg. 14</w:t>
      </w:r>
    </w:p>
  </w:footnote>
  <w:footnote w:id="14">
    <w:p w:rsidR="00C2504B" w:rsidRDefault="00C2504B">
      <w:pPr>
        <w:pStyle w:val="FootnoteText"/>
      </w:pPr>
      <w:r>
        <w:rPr>
          <w:rStyle w:val="FootnoteReference"/>
        </w:rPr>
        <w:footnoteRef/>
      </w:r>
      <w:r>
        <w:t xml:space="preserve"> Ibid.</w:t>
      </w:r>
    </w:p>
  </w:footnote>
  <w:footnote w:id="15">
    <w:p w:rsidR="00C2504B" w:rsidRDefault="00C2504B">
      <w:pPr>
        <w:pStyle w:val="FootnoteText"/>
      </w:pPr>
      <w:r>
        <w:rPr>
          <w:rStyle w:val="FootnoteReference"/>
        </w:rPr>
        <w:footnoteRef/>
      </w:r>
      <w:r>
        <w:t xml:space="preserve"> Due to </w:t>
      </w:r>
      <w:r w:rsidRPr="00AD151D">
        <w:t xml:space="preserve">either a procurement deficiency (i.e., it did not meet its RA obligations) or </w:t>
      </w:r>
      <w:r>
        <w:t xml:space="preserve">filing violations with compliance rules (i.e., </w:t>
      </w:r>
      <w:r w:rsidRPr="00AD151D">
        <w:t xml:space="preserve">files late,  or not </w:t>
      </w:r>
      <w:r>
        <w:t xml:space="preserve"> </w:t>
      </w:r>
      <w:r w:rsidRPr="00AD151D">
        <w:t>at all</w:t>
      </w:r>
      <w:r>
        <w:t>)</w:t>
      </w:r>
    </w:p>
  </w:footnote>
  <w:footnote w:id="16">
    <w:p w:rsidR="00C2504B" w:rsidRDefault="00C2504B">
      <w:pPr>
        <w:pStyle w:val="FootnoteText"/>
      </w:pPr>
      <w:r>
        <w:rPr>
          <w:rStyle w:val="FootnoteReference"/>
        </w:rPr>
        <w:footnoteRef/>
      </w:r>
      <w:r>
        <w:t xml:space="preserve"> CAM resources are those built for system needs, not just IOU specific needs; allocations of capacity credit for CAM resources are performed according to the mechanism adopted in D.07-09-044</w:t>
      </w:r>
    </w:p>
  </w:footnote>
  <w:footnote w:id="17">
    <w:p w:rsidR="00C2504B" w:rsidRDefault="00C2504B" w:rsidP="005243B3">
      <w:pPr>
        <w:pStyle w:val="FootnoteText"/>
      </w:pPr>
      <w:r>
        <w:rPr>
          <w:rStyle w:val="FootnoteReference"/>
        </w:rPr>
        <w:footnoteRef/>
      </w:r>
      <w:r>
        <w:t xml:space="preserve"> Final CPUC decisions may be found at http://docs.cpuc.ca.gov/cyberdocs/Libraries/WEBPUB/Common/decSearchDsp.asp</w:t>
      </w:r>
    </w:p>
  </w:footnote>
  <w:footnote w:id="18">
    <w:p w:rsidR="00C2504B" w:rsidRDefault="00C2504B" w:rsidP="00AF07E7">
      <w:pPr>
        <w:pStyle w:val="FootnoteText"/>
      </w:pPr>
      <w:r>
        <w:rPr>
          <w:rStyle w:val="FootnoteReference"/>
        </w:rPr>
        <w:footnoteRef/>
      </w:r>
      <w:r>
        <w:t xml:space="preserve"> Annual RA Filing Guides are available on the CPUC website:  http://www.cpuc.ca.gov/PUC/energy/Procurement/RA/ra_compliance_materials.htm</w:t>
      </w:r>
    </w:p>
  </w:footnote>
  <w:footnote w:id="19">
    <w:p w:rsidR="00C2504B" w:rsidRDefault="00C2504B">
      <w:pPr>
        <w:pStyle w:val="FootnoteText"/>
      </w:pPr>
      <w:r>
        <w:rPr>
          <w:rStyle w:val="FootnoteReference"/>
        </w:rPr>
        <w:footnoteRef/>
      </w:r>
      <w:r>
        <w:t xml:space="preserve"> 2010 RA report is linked to the CPUC website here: http://www.cpuc.ca.gov/PUC/energy/Procurement/RA/index.htm#Final%20Reports</w:t>
      </w:r>
    </w:p>
  </w:footnote>
  <w:footnote w:id="20">
    <w:p w:rsidR="00C2504B" w:rsidRPr="00C83B76" w:rsidRDefault="00C2504B">
      <w:pPr>
        <w:pStyle w:val="FootnoteText"/>
      </w:pPr>
      <w:r>
        <w:rPr>
          <w:rStyle w:val="FootnoteReference"/>
        </w:rPr>
        <w:footnoteRef/>
      </w:r>
      <w:r>
        <w:t xml:space="preserve"> The Monthly CEC Load Forecast is the same forecast as applicable to the Monthly Filings, from Line 3 </w:t>
      </w:r>
      <w:r w:rsidRPr="00C83B76">
        <w:t>in Table 3</w:t>
      </w:r>
    </w:p>
  </w:footnote>
  <w:footnote w:id="21">
    <w:p w:rsidR="00C2504B" w:rsidRPr="00C83B76" w:rsidRDefault="00C2504B">
      <w:pPr>
        <w:pStyle w:val="FootnoteText"/>
      </w:pPr>
      <w:r w:rsidRPr="00C83B76">
        <w:rPr>
          <w:rStyle w:val="FootnoteReference"/>
        </w:rPr>
        <w:footnoteRef/>
      </w:r>
      <w:r w:rsidRPr="00C83B76">
        <w:t xml:space="preserve"> More detail regarding the overall Local RA program can be found in Section 3.3 of the 2007 Resource Adequacy Report</w:t>
      </w:r>
    </w:p>
  </w:footnote>
  <w:footnote w:id="22">
    <w:p w:rsidR="00C2504B" w:rsidRDefault="00C2504B">
      <w:pPr>
        <w:pStyle w:val="FootnoteText"/>
      </w:pPr>
      <w:r w:rsidRPr="00C83B76">
        <w:rPr>
          <w:rStyle w:val="FootnoteReference"/>
        </w:rPr>
        <w:footnoteRef/>
      </w:r>
      <w:r w:rsidRPr="00C83B76">
        <w:t xml:space="preserve"> LCR studies and materials for 2011 and previous years are posted at the following link: </w:t>
      </w:r>
      <w:r w:rsidRPr="00626007">
        <w:t>htt</w:t>
      </w:r>
      <w:r w:rsidRPr="000D7850">
        <w:t>p://www.caiso.com/planning</w:t>
      </w:r>
      <w:r w:rsidRPr="007C2409">
        <w:t>/Pages/ReliabilityRequirements/LocalCapacityRequirements.aspx</w:t>
      </w:r>
    </w:p>
  </w:footnote>
  <w:footnote w:id="23">
    <w:p w:rsidR="00C2504B" w:rsidRDefault="00C2504B">
      <w:pPr>
        <w:pStyle w:val="FootnoteText"/>
      </w:pPr>
      <w:r>
        <w:rPr>
          <w:rStyle w:val="FootnoteReference"/>
        </w:rPr>
        <w:footnoteRef/>
      </w:r>
      <w:r>
        <w:t xml:space="preserve"> http://docs.cpuc.ca.gov/PUBLISHED/FINAL_DECISION/119856.htm (QC manual adopted as Appendix B).</w:t>
      </w:r>
    </w:p>
  </w:footnote>
  <w:footnote w:id="24">
    <w:p w:rsidR="00C2504B" w:rsidRDefault="00C2504B" w:rsidP="00C51DD8">
      <w:pPr>
        <w:pStyle w:val="FootnoteText"/>
      </w:pPr>
      <w:r>
        <w:rPr>
          <w:rStyle w:val="FootnoteReference"/>
        </w:rPr>
        <w:footnoteRef/>
      </w:r>
      <w:r>
        <w:t xml:space="preserve"> The 2011 compliance year NQC list is posted to the CPUC website:  http://www.caiso.com/1796/179688b22c970.html</w:t>
      </w:r>
    </w:p>
  </w:footnote>
  <w:footnote w:id="25">
    <w:p w:rsidR="00C2504B" w:rsidRDefault="00C2504B">
      <w:pPr>
        <w:pStyle w:val="FootnoteText"/>
      </w:pPr>
      <w:r>
        <w:rPr>
          <w:rStyle w:val="FootnoteReference"/>
        </w:rPr>
        <w:footnoteRef/>
      </w:r>
      <w:r>
        <w:t xml:space="preserve"> http://www.energy.ca.gov/sitingcases/all_projects.html</w:t>
      </w:r>
    </w:p>
  </w:footnote>
  <w:footnote w:id="26">
    <w:p w:rsidR="00C2504B" w:rsidRDefault="00C2504B">
      <w:pPr>
        <w:pStyle w:val="FootnoteText"/>
      </w:pPr>
      <w:r>
        <w:rPr>
          <w:rStyle w:val="FootnoteReference"/>
        </w:rPr>
        <w:footnoteRef/>
      </w:r>
      <w:r>
        <w:t xml:space="preserve"> </w:t>
      </w:r>
      <w:hyperlink r:id="rId1" w:history="1">
        <w:r>
          <w:rPr>
            <w:rStyle w:val="Hyperlink"/>
          </w:rPr>
          <w:t>http://www.cpuc.ca.gov/PUC/energy/Procurement/RA/ra_compliance_materials.htm</w:t>
        </w:r>
      </w:hyperlink>
      <w:r>
        <w:t xml:space="preserve"> </w:t>
      </w:r>
    </w:p>
  </w:footnote>
  <w:footnote w:id="27">
    <w:p w:rsidR="00C2504B" w:rsidRDefault="00C2504B">
      <w:pPr>
        <w:pStyle w:val="FootnoteText"/>
      </w:pPr>
      <w:r>
        <w:rPr>
          <w:rStyle w:val="FootnoteReference"/>
        </w:rPr>
        <w:footnoteRef/>
      </w:r>
      <w:r>
        <w:t xml:space="preserve"> Ibid.</w:t>
      </w:r>
    </w:p>
  </w:footnote>
  <w:footnote w:id="28">
    <w:p w:rsidR="00C2504B" w:rsidRDefault="00C2504B">
      <w:pPr>
        <w:pStyle w:val="FootnoteText"/>
      </w:pPr>
      <w:r>
        <w:rPr>
          <w:rStyle w:val="FootnoteReference"/>
        </w:rPr>
        <w:footnoteRef/>
      </w:r>
      <w:r>
        <w:t>CAISO tariff section 40.5.2.2</w:t>
      </w:r>
    </w:p>
  </w:footnote>
  <w:footnote w:id="29">
    <w:p w:rsidR="00C2504B" w:rsidRDefault="00C2504B">
      <w:pPr>
        <w:pStyle w:val="FootnoteText"/>
      </w:pPr>
      <w:r>
        <w:rPr>
          <w:rStyle w:val="FootnoteReference"/>
        </w:rPr>
        <w:footnoteRef/>
      </w:r>
      <w:r>
        <w:t xml:space="preserve"> Market Reports are linked to the CAISO website here: </w:t>
      </w:r>
      <w:hyperlink r:id="rId2" w:history="1">
        <w:r w:rsidRPr="00030BBC">
          <w:rPr>
            <w:rStyle w:val="Hyperlink"/>
          </w:rPr>
          <w:t>http://www.caiso.com/market/Pages/ReportsBulletins/Default.aspx</w:t>
        </w:r>
      </w:hyperlink>
      <w:r>
        <w:t xml:space="preserve"> </w:t>
      </w:r>
    </w:p>
  </w:footnote>
  <w:footnote w:id="30">
    <w:p w:rsidR="00C2504B" w:rsidRDefault="00C2504B">
      <w:pPr>
        <w:pStyle w:val="FootnoteText"/>
      </w:pPr>
      <w:r>
        <w:rPr>
          <w:rStyle w:val="FootnoteReference"/>
        </w:rPr>
        <w:footnoteRef/>
      </w:r>
      <w:r>
        <w:t xml:space="preserve"> Monthly ExD reports are posted on the CAISO website here:</w:t>
      </w:r>
      <w:r w:rsidRPr="0030217F">
        <w:t xml:space="preserve"> http://www.caiso.com/241d/241dca223c760.html</w:t>
      </w:r>
    </w:p>
  </w:footnote>
  <w:footnote w:id="31">
    <w:p w:rsidR="00C2504B" w:rsidRDefault="00C2504B">
      <w:pPr>
        <w:pStyle w:val="FootnoteText"/>
      </w:pPr>
      <w:r>
        <w:rPr>
          <w:rStyle w:val="FootnoteReference"/>
        </w:rPr>
        <w:footnoteRef/>
      </w:r>
      <w:r>
        <w:t xml:space="preserve"> </w:t>
      </w:r>
      <w:r>
        <w:rPr>
          <w:sz w:val="18"/>
          <w:szCs w:val="18"/>
        </w:rPr>
        <w:t>California Public Utilities Commission D.06-06-064, Section 3.3.7.1.</w:t>
      </w:r>
    </w:p>
  </w:footnote>
  <w:footnote w:id="32">
    <w:p w:rsidR="00C2504B" w:rsidRDefault="00C2504B">
      <w:pPr>
        <w:pStyle w:val="FootnoteText"/>
      </w:pPr>
      <w:r>
        <w:rPr>
          <w:rStyle w:val="FootnoteReference"/>
        </w:rPr>
        <w:footnoteRef/>
      </w:r>
      <w:r>
        <w:t xml:space="preserve"> Posted to the CPUC website here: http://docs.cpuc.ca.gov/PUBLISHED/FINAL_RESOLUTION/93662.htm</w:t>
      </w:r>
    </w:p>
  </w:footnote>
  <w:footnote w:id="33">
    <w:p w:rsidR="00C2504B" w:rsidRDefault="00C2504B">
      <w:pPr>
        <w:pStyle w:val="FootnoteText"/>
      </w:pPr>
      <w:r>
        <w:rPr>
          <w:rStyle w:val="FootnoteReference"/>
        </w:rPr>
        <w:footnoteRef/>
      </w:r>
      <w:r>
        <w:t xml:space="preserve"> http://docs.cpuc.ca.gov/PUBLISHED/FINAL_RESOLUTION/73108.htm</w:t>
      </w:r>
    </w:p>
  </w:footnote>
  <w:footnote w:id="34">
    <w:p w:rsidR="00C2504B" w:rsidRDefault="00C2504B">
      <w:pPr>
        <w:pStyle w:val="FootnoteText"/>
      </w:pPr>
      <w:r>
        <w:rPr>
          <w:rStyle w:val="FootnoteReference"/>
        </w:rPr>
        <w:footnoteRef/>
      </w:r>
      <w:r>
        <w:t xml:space="preserve"> The docket card for this proceeding can be accessed here: http://docs.cpuc.ca.gov/published/proceedings/I0901017.htm</w:t>
      </w:r>
    </w:p>
  </w:footnote>
  <w:footnote w:id="35">
    <w:p w:rsidR="00C2504B" w:rsidRDefault="00C2504B">
      <w:pPr>
        <w:pStyle w:val="FootnoteText"/>
      </w:pPr>
      <w:r>
        <w:rPr>
          <w:rStyle w:val="FootnoteReference"/>
        </w:rPr>
        <w:footnoteRef/>
      </w:r>
      <w:r>
        <w:t xml:space="preserve"> Documents for this proceeding are posted here: http://docs.cpuc.ca.gov/published/proceedings/I1004010.htm</w:t>
      </w:r>
    </w:p>
  </w:footnote>
  <w:footnote w:id="36">
    <w:p w:rsidR="00C2504B" w:rsidRDefault="00C2504B">
      <w:pPr>
        <w:pStyle w:val="FootnoteText"/>
      </w:pPr>
      <w:r>
        <w:rPr>
          <w:rStyle w:val="FootnoteReference"/>
        </w:rPr>
        <w:footnoteRef/>
      </w:r>
      <w:r>
        <w:t xml:space="preserve"> SCP tariff and implementation information posted to the CAISO website here: http://www.caiso.com/1796/179688b22c970.html#2406b60b7570</w:t>
      </w:r>
    </w:p>
  </w:footnote>
  <w:footnote w:id="37">
    <w:p w:rsidR="00C2504B" w:rsidRDefault="00C2504B" w:rsidP="007C7820">
      <w:pPr>
        <w:pStyle w:val="FootnoteText"/>
      </w:pPr>
      <w:r>
        <w:rPr>
          <w:rStyle w:val="FootnoteReference"/>
        </w:rPr>
        <w:footnoteRef/>
      </w:r>
      <w:r>
        <w:t xml:space="preserve"> CAISO posts SCP information to the CAISO website here: </w:t>
      </w:r>
      <w:r w:rsidRPr="00A66C5B">
        <w:t>http://www.caiso.com/Documents/2011MonthlyResourceAdequacyAvailabilityStandards.pdf</w:t>
      </w:r>
      <w:r w:rsidRPr="00A66C5B" w:rsidDel="00A66C5B">
        <w:t xml:space="preserve"> </w:t>
      </w:r>
    </w:p>
  </w:footnote>
  <w:footnote w:id="38">
    <w:p w:rsidR="00C2504B" w:rsidRDefault="00C2504B" w:rsidP="007C7820">
      <w:pPr>
        <w:pStyle w:val="FootnoteText"/>
      </w:pPr>
      <w:r>
        <w:rPr>
          <w:rStyle w:val="FootnoteReference"/>
        </w:rPr>
        <w:footnoteRef/>
      </w:r>
      <w:r>
        <w:t xml:space="preserve">  Data </w:t>
      </w:r>
      <w:r w:rsidRPr="009C3C19">
        <w:t xml:space="preserve">in </w:t>
      </w:r>
      <w:r w:rsidRPr="009C3C19">
        <w:fldChar w:fldCharType="begin"/>
      </w:r>
      <w:r w:rsidRPr="009C3C19">
        <w:instrText xml:space="preserve"> REF _Ref287344325 \h </w:instrText>
      </w:r>
      <w:r>
        <w:instrText xml:space="preserve"> \* MERGEFORMAT </w:instrText>
      </w:r>
      <w:r w:rsidRPr="009C3C19">
        <w:fldChar w:fldCharType="separate"/>
      </w:r>
      <w:r w:rsidRPr="009C3C19">
        <w:t xml:space="preserve">Table </w:t>
      </w:r>
      <w:r w:rsidRPr="009C3C19">
        <w:rPr>
          <w:noProof/>
        </w:rPr>
        <w:t>17</w:t>
      </w:r>
      <w:r w:rsidRPr="009C3C19">
        <w:fldChar w:fldCharType="end"/>
      </w:r>
      <w:r>
        <w:t xml:space="preserve"> </w:t>
      </w:r>
      <w:r w:rsidRPr="009C3C19">
        <w:t>does not reflect</w:t>
      </w:r>
      <w:r>
        <w:t xml:space="preserve"> adjustments made after publication on the ISO website.</w:t>
      </w:r>
    </w:p>
  </w:footnote>
  <w:footnote w:id="39">
    <w:p w:rsidR="00C2504B" w:rsidRDefault="00C2504B" w:rsidP="002A3FD6">
      <w:pPr>
        <w:pStyle w:val="FootnoteText"/>
      </w:pPr>
      <w:r>
        <w:rPr>
          <w:rStyle w:val="FootnoteReference"/>
        </w:rPr>
        <w:footnoteRef/>
      </w:r>
      <w:r>
        <w:t xml:space="preserve">  This does not include RA capacity that is grandfathered from SCP availability standards.  </w:t>
      </w:r>
    </w:p>
  </w:footnote>
  <w:footnote w:id="40">
    <w:p w:rsidR="00C2504B" w:rsidRDefault="00C2504B" w:rsidP="002A3FD6">
      <w:pPr>
        <w:pStyle w:val="FootnoteText"/>
      </w:pPr>
      <w:r>
        <w:rPr>
          <w:rStyle w:val="FootnoteReference"/>
        </w:rPr>
        <w:footnoteRef/>
      </w:r>
      <w:r>
        <w:t xml:space="preserve">  </w:t>
      </w:r>
      <w:r>
        <w:rPr>
          <w:i/>
        </w:rPr>
        <w:t>Ibid</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04B" w:rsidRDefault="00C2504B">
    <w:pPr>
      <w:pStyle w:val="Header"/>
    </w:pPr>
    <w:r>
      <w:ptab w:relativeTo="margin" w:alignment="center" w:leader="none"/>
    </w:r>
    <w:r>
      <w:rPr>
        <w:b/>
        <w:sz w:val="36"/>
        <w:szCs w:val="36"/>
      </w:rPr>
      <w:t>2011 Resource Adequacy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92BBC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C1667E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B860DE0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5F8E4FE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90AA75A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53658D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1656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0E4DBB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4345EC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7A24F2C"/>
    <w:lvl w:ilvl="0">
      <w:start w:val="1"/>
      <w:numFmt w:val="bullet"/>
      <w:lvlText w:val=""/>
      <w:lvlJc w:val="left"/>
      <w:pPr>
        <w:tabs>
          <w:tab w:val="num" w:pos="360"/>
        </w:tabs>
        <w:ind w:left="360" w:hanging="360"/>
      </w:pPr>
      <w:rPr>
        <w:rFonts w:ascii="Symbol" w:hAnsi="Symbol" w:hint="default"/>
      </w:rPr>
    </w:lvl>
  </w:abstractNum>
  <w:abstractNum w:abstractNumId="10">
    <w:nsid w:val="01B820E7"/>
    <w:multiLevelType w:val="hybridMultilevel"/>
    <w:tmpl w:val="D73CB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480A57"/>
    <w:multiLevelType w:val="multilevel"/>
    <w:tmpl w:val="8DE04AA2"/>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sz w:val="28"/>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0E033F3B"/>
    <w:multiLevelType w:val="multilevel"/>
    <w:tmpl w:val="92265226"/>
    <w:lvl w:ilvl="0">
      <w:start w:val="1"/>
      <w:numFmt w:val="decimal"/>
      <w:lvlText w:val="%1."/>
      <w:lvlJc w:val="left"/>
      <w:pPr>
        <w:tabs>
          <w:tab w:val="num" w:pos="1080"/>
        </w:tabs>
        <w:ind w:left="1080" w:hanging="72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3">
    <w:nsid w:val="0F6259A3"/>
    <w:multiLevelType w:val="multilevel"/>
    <w:tmpl w:val="0409001D"/>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148B41DE"/>
    <w:multiLevelType w:val="hybridMultilevel"/>
    <w:tmpl w:val="3B1894F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nsid w:val="156B6CE3"/>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nsid w:val="15EC3A24"/>
    <w:multiLevelType w:val="hybridMultilevel"/>
    <w:tmpl w:val="D4C2D0DC"/>
    <w:lvl w:ilvl="0" w:tplc="10143C7C">
      <w:start w:val="1"/>
      <w:numFmt w:val="bullet"/>
      <w:lvlText w:val=""/>
      <w:lvlJc w:val="left"/>
      <w:pPr>
        <w:tabs>
          <w:tab w:val="num" w:pos="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1E2774B4"/>
    <w:multiLevelType w:val="hybridMultilevel"/>
    <w:tmpl w:val="B3AC4C90"/>
    <w:lvl w:ilvl="0" w:tplc="10143C7C">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7A35701"/>
    <w:multiLevelType w:val="multilevel"/>
    <w:tmpl w:val="0409001D"/>
    <w:lvl w:ilvl="0">
      <w:start w:val="1"/>
      <w:numFmt w:val="decimal"/>
      <w:pStyle w:val="Heading1"/>
      <w:lvlText w:val="%1)"/>
      <w:lvlJc w:val="left"/>
      <w:pPr>
        <w:tabs>
          <w:tab w:val="num" w:pos="360"/>
        </w:tabs>
        <w:ind w:left="360" w:hanging="360"/>
      </w:pPr>
      <w:rPr>
        <w:rFonts w:cs="Times New Roman"/>
      </w:rPr>
    </w:lvl>
    <w:lvl w:ilvl="1">
      <w:start w:val="1"/>
      <w:numFmt w:val="lowerLetter"/>
      <w:pStyle w:val="Heading2"/>
      <w:lvlText w:val="%2)"/>
      <w:lvlJc w:val="left"/>
      <w:pPr>
        <w:tabs>
          <w:tab w:val="num" w:pos="720"/>
        </w:tabs>
        <w:ind w:left="720" w:hanging="360"/>
      </w:pPr>
      <w:rPr>
        <w:rFonts w:cs="Times New Roman"/>
      </w:rPr>
    </w:lvl>
    <w:lvl w:ilvl="2">
      <w:start w:val="1"/>
      <w:numFmt w:val="lowerRoman"/>
      <w:pStyle w:val="Heading3"/>
      <w:lvlText w:val="%3)"/>
      <w:lvlJc w:val="left"/>
      <w:pPr>
        <w:tabs>
          <w:tab w:val="num" w:pos="1080"/>
        </w:tabs>
        <w:ind w:left="1080" w:hanging="360"/>
      </w:pPr>
      <w:rPr>
        <w:rFonts w:cs="Times New Roman"/>
      </w:rPr>
    </w:lvl>
    <w:lvl w:ilvl="3">
      <w:start w:val="1"/>
      <w:numFmt w:val="decimal"/>
      <w:pStyle w:val="Heading4"/>
      <w:lvlText w:val="(%4)"/>
      <w:lvlJc w:val="left"/>
      <w:pPr>
        <w:tabs>
          <w:tab w:val="num" w:pos="1440"/>
        </w:tabs>
        <w:ind w:left="1440" w:hanging="360"/>
      </w:pPr>
      <w:rPr>
        <w:rFonts w:cs="Times New Roman"/>
      </w:rPr>
    </w:lvl>
    <w:lvl w:ilvl="4">
      <w:start w:val="1"/>
      <w:numFmt w:val="lowerLetter"/>
      <w:pStyle w:val="Heading5"/>
      <w:lvlText w:val="(%5)"/>
      <w:lvlJc w:val="left"/>
      <w:pPr>
        <w:tabs>
          <w:tab w:val="num" w:pos="1800"/>
        </w:tabs>
        <w:ind w:left="1800" w:hanging="360"/>
      </w:pPr>
      <w:rPr>
        <w:rFonts w:cs="Times New Roman"/>
      </w:rPr>
    </w:lvl>
    <w:lvl w:ilvl="5">
      <w:start w:val="1"/>
      <w:numFmt w:val="lowerRoman"/>
      <w:pStyle w:val="Heading6"/>
      <w:lvlText w:val="(%6)"/>
      <w:lvlJc w:val="left"/>
      <w:pPr>
        <w:tabs>
          <w:tab w:val="num" w:pos="2160"/>
        </w:tabs>
        <w:ind w:left="2160" w:hanging="360"/>
      </w:pPr>
      <w:rPr>
        <w:rFonts w:cs="Times New Roman"/>
      </w:rPr>
    </w:lvl>
    <w:lvl w:ilvl="6">
      <w:start w:val="1"/>
      <w:numFmt w:val="decimal"/>
      <w:pStyle w:val="Heading7"/>
      <w:lvlText w:val="%7."/>
      <w:lvlJc w:val="left"/>
      <w:pPr>
        <w:tabs>
          <w:tab w:val="num" w:pos="2520"/>
        </w:tabs>
        <w:ind w:left="2520" w:hanging="360"/>
      </w:pPr>
      <w:rPr>
        <w:rFonts w:cs="Times New Roman"/>
      </w:rPr>
    </w:lvl>
    <w:lvl w:ilvl="7">
      <w:start w:val="1"/>
      <w:numFmt w:val="lowerLetter"/>
      <w:pStyle w:val="Heading8"/>
      <w:lvlText w:val="%8."/>
      <w:lvlJc w:val="left"/>
      <w:pPr>
        <w:tabs>
          <w:tab w:val="num" w:pos="2880"/>
        </w:tabs>
        <w:ind w:left="2880" w:hanging="360"/>
      </w:pPr>
      <w:rPr>
        <w:rFonts w:cs="Times New Roman"/>
      </w:rPr>
    </w:lvl>
    <w:lvl w:ilvl="8">
      <w:start w:val="1"/>
      <w:numFmt w:val="lowerRoman"/>
      <w:pStyle w:val="Heading9"/>
      <w:lvlText w:val="%9."/>
      <w:lvlJc w:val="left"/>
      <w:pPr>
        <w:tabs>
          <w:tab w:val="num" w:pos="3240"/>
        </w:tabs>
        <w:ind w:left="3240" w:hanging="360"/>
      </w:pPr>
      <w:rPr>
        <w:rFonts w:cs="Times New Roman"/>
      </w:rPr>
    </w:lvl>
  </w:abstractNum>
  <w:abstractNum w:abstractNumId="19">
    <w:nsid w:val="2F1D18F7"/>
    <w:multiLevelType w:val="hybridMultilevel"/>
    <w:tmpl w:val="056ECC30"/>
    <w:lvl w:ilvl="0" w:tplc="10143C7C">
      <w:start w:val="1"/>
      <w:numFmt w:val="bullet"/>
      <w:lvlText w:val=""/>
      <w:lvlJc w:val="left"/>
      <w:pPr>
        <w:tabs>
          <w:tab w:val="num" w:pos="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93911A4"/>
    <w:multiLevelType w:val="hybridMultilevel"/>
    <w:tmpl w:val="D5B87BE8"/>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9412DF3"/>
    <w:multiLevelType w:val="hybridMultilevel"/>
    <w:tmpl w:val="1EAE510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nsid w:val="3D47106D"/>
    <w:multiLevelType w:val="hybridMultilevel"/>
    <w:tmpl w:val="B344EA56"/>
    <w:lvl w:ilvl="0" w:tplc="10143C7C">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5731ACE"/>
    <w:multiLevelType w:val="hybridMultilevel"/>
    <w:tmpl w:val="F91E76A0"/>
    <w:lvl w:ilvl="0" w:tplc="10143C7C">
      <w:start w:val="1"/>
      <w:numFmt w:val="bullet"/>
      <w:lvlText w:val=""/>
      <w:lvlJc w:val="left"/>
      <w:pPr>
        <w:tabs>
          <w:tab w:val="num" w:pos="36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A5075B0"/>
    <w:multiLevelType w:val="hybridMultilevel"/>
    <w:tmpl w:val="48AE89D4"/>
    <w:lvl w:ilvl="0" w:tplc="04090003">
      <w:start w:val="1"/>
      <w:numFmt w:val="bullet"/>
      <w:lvlText w:val="o"/>
      <w:lvlJc w:val="left"/>
      <w:pPr>
        <w:tabs>
          <w:tab w:val="num" w:pos="1440"/>
        </w:tabs>
        <w:ind w:left="1440" w:hanging="360"/>
      </w:pPr>
      <w:rPr>
        <w:rFonts w:ascii="Courier New" w:hAnsi="Courier New"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5">
    <w:nsid w:val="5AEE12F6"/>
    <w:multiLevelType w:val="hybridMultilevel"/>
    <w:tmpl w:val="DACE919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9A24A52"/>
    <w:multiLevelType w:val="hybridMultilevel"/>
    <w:tmpl w:val="C3EE2F9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69A53392"/>
    <w:multiLevelType w:val="hybridMultilevel"/>
    <w:tmpl w:val="50FE7D6A"/>
    <w:lvl w:ilvl="0" w:tplc="10143C7C">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9E0101D"/>
    <w:multiLevelType w:val="hybridMultilevel"/>
    <w:tmpl w:val="D444B60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9">
    <w:nsid w:val="730E3B43"/>
    <w:multiLevelType w:val="hybridMultilevel"/>
    <w:tmpl w:val="41BC49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9"/>
  </w:num>
  <w:num w:numId="3">
    <w:abstractNumId w:val="26"/>
  </w:num>
  <w:num w:numId="4">
    <w:abstractNumId w:val="13"/>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8"/>
  </w:num>
  <w:num w:numId="18">
    <w:abstractNumId w:val="11"/>
  </w:num>
  <w:num w:numId="19">
    <w:abstractNumId w:val="20"/>
  </w:num>
  <w:num w:numId="20">
    <w:abstractNumId w:val="21"/>
  </w:num>
  <w:num w:numId="21">
    <w:abstractNumId w:val="16"/>
  </w:num>
  <w:num w:numId="22">
    <w:abstractNumId w:val="29"/>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1"/>
  </w:num>
  <w:num w:numId="26">
    <w:abstractNumId w:val="11"/>
  </w:num>
  <w:num w:numId="27">
    <w:abstractNumId w:val="11"/>
  </w:num>
  <w:num w:numId="28">
    <w:abstractNumId w:val="19"/>
  </w:num>
  <w:num w:numId="29">
    <w:abstractNumId w:val="27"/>
  </w:num>
  <w:num w:numId="30">
    <w:abstractNumId w:val="11"/>
  </w:num>
  <w:num w:numId="31">
    <w:abstractNumId w:val="28"/>
  </w:num>
  <w:num w:numId="32">
    <w:abstractNumId w:val="14"/>
  </w:num>
  <w:num w:numId="33">
    <w:abstractNumId w:val="24"/>
  </w:num>
  <w:num w:numId="34">
    <w:abstractNumId w:val="23"/>
  </w:num>
  <w:num w:numId="35">
    <w:abstractNumId w:val="17"/>
  </w:num>
  <w:num w:numId="36">
    <w:abstractNumId w:val="25"/>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F7B"/>
    <w:rsid w:val="000063EF"/>
    <w:rsid w:val="00010A92"/>
    <w:rsid w:val="00021382"/>
    <w:rsid w:val="00030BBC"/>
    <w:rsid w:val="00041870"/>
    <w:rsid w:val="00042DAA"/>
    <w:rsid w:val="00044E7C"/>
    <w:rsid w:val="00056F2E"/>
    <w:rsid w:val="00061F62"/>
    <w:rsid w:val="00065C14"/>
    <w:rsid w:val="00075EA6"/>
    <w:rsid w:val="00095495"/>
    <w:rsid w:val="000A0C48"/>
    <w:rsid w:val="000B3320"/>
    <w:rsid w:val="000B5D8B"/>
    <w:rsid w:val="000D7850"/>
    <w:rsid w:val="000E1A1E"/>
    <w:rsid w:val="000E41DF"/>
    <w:rsid w:val="000E4269"/>
    <w:rsid w:val="00111359"/>
    <w:rsid w:val="00177309"/>
    <w:rsid w:val="00180C07"/>
    <w:rsid w:val="001834A6"/>
    <w:rsid w:val="001836CC"/>
    <w:rsid w:val="00186273"/>
    <w:rsid w:val="001A2D84"/>
    <w:rsid w:val="001B7740"/>
    <w:rsid w:val="001C5402"/>
    <w:rsid w:val="001D266C"/>
    <w:rsid w:val="001E0315"/>
    <w:rsid w:val="001F42D5"/>
    <w:rsid w:val="001F7D86"/>
    <w:rsid w:val="002010E3"/>
    <w:rsid w:val="0022660E"/>
    <w:rsid w:val="002412B6"/>
    <w:rsid w:val="00275ACB"/>
    <w:rsid w:val="00277DC8"/>
    <w:rsid w:val="0028403D"/>
    <w:rsid w:val="002A3FD6"/>
    <w:rsid w:val="002C2708"/>
    <w:rsid w:val="002E4689"/>
    <w:rsid w:val="002F0577"/>
    <w:rsid w:val="002F5203"/>
    <w:rsid w:val="0030217F"/>
    <w:rsid w:val="00324AC2"/>
    <w:rsid w:val="003303D3"/>
    <w:rsid w:val="0033102F"/>
    <w:rsid w:val="00331CC9"/>
    <w:rsid w:val="00347D81"/>
    <w:rsid w:val="00350B99"/>
    <w:rsid w:val="003546BE"/>
    <w:rsid w:val="00363332"/>
    <w:rsid w:val="00363EA5"/>
    <w:rsid w:val="00363EB8"/>
    <w:rsid w:val="00372CE3"/>
    <w:rsid w:val="003878E0"/>
    <w:rsid w:val="003A04F3"/>
    <w:rsid w:val="003A0DD6"/>
    <w:rsid w:val="003A2EEB"/>
    <w:rsid w:val="003A4695"/>
    <w:rsid w:val="003A49CB"/>
    <w:rsid w:val="003B5D33"/>
    <w:rsid w:val="003D16C2"/>
    <w:rsid w:val="003E0631"/>
    <w:rsid w:val="003E1A38"/>
    <w:rsid w:val="003E1B1A"/>
    <w:rsid w:val="003E45F8"/>
    <w:rsid w:val="003F36BA"/>
    <w:rsid w:val="00411CBB"/>
    <w:rsid w:val="004138E5"/>
    <w:rsid w:val="00415330"/>
    <w:rsid w:val="0041619F"/>
    <w:rsid w:val="00416549"/>
    <w:rsid w:val="004174B6"/>
    <w:rsid w:val="00420594"/>
    <w:rsid w:val="004210AB"/>
    <w:rsid w:val="00431899"/>
    <w:rsid w:val="00444203"/>
    <w:rsid w:val="00452970"/>
    <w:rsid w:val="004537D8"/>
    <w:rsid w:val="0046439F"/>
    <w:rsid w:val="00464AEC"/>
    <w:rsid w:val="00465B9F"/>
    <w:rsid w:val="00467339"/>
    <w:rsid w:val="00486BF6"/>
    <w:rsid w:val="004874FB"/>
    <w:rsid w:val="004905E8"/>
    <w:rsid w:val="004914A5"/>
    <w:rsid w:val="00491C7D"/>
    <w:rsid w:val="00495FE9"/>
    <w:rsid w:val="004A0119"/>
    <w:rsid w:val="004A2ECB"/>
    <w:rsid w:val="004A5ACF"/>
    <w:rsid w:val="004A60B8"/>
    <w:rsid w:val="004B01E3"/>
    <w:rsid w:val="004B2D02"/>
    <w:rsid w:val="004B59F2"/>
    <w:rsid w:val="004B7805"/>
    <w:rsid w:val="004C06E5"/>
    <w:rsid w:val="004C3C54"/>
    <w:rsid w:val="004D507D"/>
    <w:rsid w:val="004D53AC"/>
    <w:rsid w:val="004F098B"/>
    <w:rsid w:val="005013EC"/>
    <w:rsid w:val="005042B9"/>
    <w:rsid w:val="00504F18"/>
    <w:rsid w:val="0051629E"/>
    <w:rsid w:val="00517D18"/>
    <w:rsid w:val="005243B3"/>
    <w:rsid w:val="00527E32"/>
    <w:rsid w:val="0054212C"/>
    <w:rsid w:val="0057084E"/>
    <w:rsid w:val="00573B09"/>
    <w:rsid w:val="00580872"/>
    <w:rsid w:val="00586B1F"/>
    <w:rsid w:val="00591A9D"/>
    <w:rsid w:val="005A5CBE"/>
    <w:rsid w:val="005C6269"/>
    <w:rsid w:val="005C7D93"/>
    <w:rsid w:val="005D1B72"/>
    <w:rsid w:val="005D38BA"/>
    <w:rsid w:val="005D47C0"/>
    <w:rsid w:val="005E5CC1"/>
    <w:rsid w:val="005F02A8"/>
    <w:rsid w:val="005F4557"/>
    <w:rsid w:val="00601290"/>
    <w:rsid w:val="00607265"/>
    <w:rsid w:val="006209A2"/>
    <w:rsid w:val="00626007"/>
    <w:rsid w:val="00627998"/>
    <w:rsid w:val="00630FCA"/>
    <w:rsid w:val="006338C1"/>
    <w:rsid w:val="00641711"/>
    <w:rsid w:val="00644C96"/>
    <w:rsid w:val="00647976"/>
    <w:rsid w:val="00650937"/>
    <w:rsid w:val="00653A14"/>
    <w:rsid w:val="00657D4C"/>
    <w:rsid w:val="006621CE"/>
    <w:rsid w:val="00663C4D"/>
    <w:rsid w:val="006645E2"/>
    <w:rsid w:val="00666644"/>
    <w:rsid w:val="006679F4"/>
    <w:rsid w:val="00672704"/>
    <w:rsid w:val="0067654B"/>
    <w:rsid w:val="00677D1C"/>
    <w:rsid w:val="006802FD"/>
    <w:rsid w:val="00687103"/>
    <w:rsid w:val="00691252"/>
    <w:rsid w:val="00692E44"/>
    <w:rsid w:val="006B7805"/>
    <w:rsid w:val="006C0354"/>
    <w:rsid w:val="006C5D7A"/>
    <w:rsid w:val="006E392C"/>
    <w:rsid w:val="006F69DE"/>
    <w:rsid w:val="006F7ADC"/>
    <w:rsid w:val="00703C2C"/>
    <w:rsid w:val="00714437"/>
    <w:rsid w:val="00730F40"/>
    <w:rsid w:val="00732319"/>
    <w:rsid w:val="00733A86"/>
    <w:rsid w:val="00737705"/>
    <w:rsid w:val="00743AB6"/>
    <w:rsid w:val="00765551"/>
    <w:rsid w:val="007805DE"/>
    <w:rsid w:val="0078429D"/>
    <w:rsid w:val="00794362"/>
    <w:rsid w:val="0079467F"/>
    <w:rsid w:val="007A14F3"/>
    <w:rsid w:val="007B209F"/>
    <w:rsid w:val="007B7AE5"/>
    <w:rsid w:val="007C14AD"/>
    <w:rsid w:val="007C2409"/>
    <w:rsid w:val="007C7732"/>
    <w:rsid w:val="007C7820"/>
    <w:rsid w:val="007D0547"/>
    <w:rsid w:val="007D7B90"/>
    <w:rsid w:val="007E3661"/>
    <w:rsid w:val="00800C8F"/>
    <w:rsid w:val="00820AE3"/>
    <w:rsid w:val="00841241"/>
    <w:rsid w:val="008471FB"/>
    <w:rsid w:val="00854291"/>
    <w:rsid w:val="00855F85"/>
    <w:rsid w:val="008566B9"/>
    <w:rsid w:val="00863E5C"/>
    <w:rsid w:val="00873366"/>
    <w:rsid w:val="008740F0"/>
    <w:rsid w:val="00882A86"/>
    <w:rsid w:val="0089481D"/>
    <w:rsid w:val="00897B07"/>
    <w:rsid w:val="008B117F"/>
    <w:rsid w:val="008B6F30"/>
    <w:rsid w:val="008D3D46"/>
    <w:rsid w:val="008D4E13"/>
    <w:rsid w:val="008E4DEA"/>
    <w:rsid w:val="008E75C4"/>
    <w:rsid w:val="008F038D"/>
    <w:rsid w:val="008F0E73"/>
    <w:rsid w:val="0090175C"/>
    <w:rsid w:val="00903E7D"/>
    <w:rsid w:val="009077CF"/>
    <w:rsid w:val="00917292"/>
    <w:rsid w:val="0092646D"/>
    <w:rsid w:val="00937B0F"/>
    <w:rsid w:val="0094467F"/>
    <w:rsid w:val="00946688"/>
    <w:rsid w:val="00957210"/>
    <w:rsid w:val="00957365"/>
    <w:rsid w:val="00960862"/>
    <w:rsid w:val="00966063"/>
    <w:rsid w:val="00970D54"/>
    <w:rsid w:val="00997EC4"/>
    <w:rsid w:val="009A4E23"/>
    <w:rsid w:val="009A52E0"/>
    <w:rsid w:val="009B0809"/>
    <w:rsid w:val="009B1A37"/>
    <w:rsid w:val="009B4E2A"/>
    <w:rsid w:val="009C05DB"/>
    <w:rsid w:val="009C0BBB"/>
    <w:rsid w:val="009C3C19"/>
    <w:rsid w:val="009E440A"/>
    <w:rsid w:val="009F38FB"/>
    <w:rsid w:val="00A01172"/>
    <w:rsid w:val="00A253C6"/>
    <w:rsid w:val="00A30C29"/>
    <w:rsid w:val="00A45B0C"/>
    <w:rsid w:val="00A4623B"/>
    <w:rsid w:val="00A54B87"/>
    <w:rsid w:val="00A60437"/>
    <w:rsid w:val="00A647C4"/>
    <w:rsid w:val="00A647D9"/>
    <w:rsid w:val="00A72384"/>
    <w:rsid w:val="00A736EA"/>
    <w:rsid w:val="00A91668"/>
    <w:rsid w:val="00A9171A"/>
    <w:rsid w:val="00A9385F"/>
    <w:rsid w:val="00AB1C92"/>
    <w:rsid w:val="00AB2D29"/>
    <w:rsid w:val="00AB7C54"/>
    <w:rsid w:val="00AC45E9"/>
    <w:rsid w:val="00AD0D06"/>
    <w:rsid w:val="00AD151D"/>
    <w:rsid w:val="00AE5805"/>
    <w:rsid w:val="00AE7D50"/>
    <w:rsid w:val="00AF07E7"/>
    <w:rsid w:val="00B07A8B"/>
    <w:rsid w:val="00B07EDA"/>
    <w:rsid w:val="00B135BB"/>
    <w:rsid w:val="00B16BF5"/>
    <w:rsid w:val="00B3535E"/>
    <w:rsid w:val="00B414BC"/>
    <w:rsid w:val="00B43AE4"/>
    <w:rsid w:val="00B46BF4"/>
    <w:rsid w:val="00B6489E"/>
    <w:rsid w:val="00B717E9"/>
    <w:rsid w:val="00B86E64"/>
    <w:rsid w:val="00B93B61"/>
    <w:rsid w:val="00B975DA"/>
    <w:rsid w:val="00BB2D00"/>
    <w:rsid w:val="00BB3463"/>
    <w:rsid w:val="00BB596F"/>
    <w:rsid w:val="00BC4EBC"/>
    <w:rsid w:val="00BD477C"/>
    <w:rsid w:val="00BD5858"/>
    <w:rsid w:val="00BD5E4A"/>
    <w:rsid w:val="00BF4431"/>
    <w:rsid w:val="00C001CC"/>
    <w:rsid w:val="00C06A81"/>
    <w:rsid w:val="00C12957"/>
    <w:rsid w:val="00C17159"/>
    <w:rsid w:val="00C2504B"/>
    <w:rsid w:val="00C4241A"/>
    <w:rsid w:val="00C44BBC"/>
    <w:rsid w:val="00C51DD8"/>
    <w:rsid w:val="00C55A10"/>
    <w:rsid w:val="00C7610B"/>
    <w:rsid w:val="00C83B76"/>
    <w:rsid w:val="00C85210"/>
    <w:rsid w:val="00C909A8"/>
    <w:rsid w:val="00C9468D"/>
    <w:rsid w:val="00C9687D"/>
    <w:rsid w:val="00CA05BD"/>
    <w:rsid w:val="00CB096A"/>
    <w:rsid w:val="00CB2B60"/>
    <w:rsid w:val="00CB31BB"/>
    <w:rsid w:val="00CB3386"/>
    <w:rsid w:val="00CC55E1"/>
    <w:rsid w:val="00CD6BB4"/>
    <w:rsid w:val="00CF56EC"/>
    <w:rsid w:val="00D00CEF"/>
    <w:rsid w:val="00D075FF"/>
    <w:rsid w:val="00D335F8"/>
    <w:rsid w:val="00D4517E"/>
    <w:rsid w:val="00D519D7"/>
    <w:rsid w:val="00D60ECD"/>
    <w:rsid w:val="00D615ED"/>
    <w:rsid w:val="00D76C00"/>
    <w:rsid w:val="00D8069F"/>
    <w:rsid w:val="00D92824"/>
    <w:rsid w:val="00D97BC0"/>
    <w:rsid w:val="00DA2024"/>
    <w:rsid w:val="00DA401F"/>
    <w:rsid w:val="00DA6508"/>
    <w:rsid w:val="00DC4ABC"/>
    <w:rsid w:val="00DD2EC7"/>
    <w:rsid w:val="00DD697B"/>
    <w:rsid w:val="00DE6175"/>
    <w:rsid w:val="00DF536B"/>
    <w:rsid w:val="00DF6EC6"/>
    <w:rsid w:val="00E02059"/>
    <w:rsid w:val="00E04B2C"/>
    <w:rsid w:val="00E10E24"/>
    <w:rsid w:val="00E135F2"/>
    <w:rsid w:val="00E2049A"/>
    <w:rsid w:val="00E244C3"/>
    <w:rsid w:val="00E34EEA"/>
    <w:rsid w:val="00E44207"/>
    <w:rsid w:val="00E47DA9"/>
    <w:rsid w:val="00E560AB"/>
    <w:rsid w:val="00E657F3"/>
    <w:rsid w:val="00E717BA"/>
    <w:rsid w:val="00E7246B"/>
    <w:rsid w:val="00E754BD"/>
    <w:rsid w:val="00E76442"/>
    <w:rsid w:val="00E9114F"/>
    <w:rsid w:val="00EA0D73"/>
    <w:rsid w:val="00EB39AA"/>
    <w:rsid w:val="00EC00F7"/>
    <w:rsid w:val="00EC13EF"/>
    <w:rsid w:val="00EC35C4"/>
    <w:rsid w:val="00EC7963"/>
    <w:rsid w:val="00ED59B4"/>
    <w:rsid w:val="00ED650E"/>
    <w:rsid w:val="00ED67AB"/>
    <w:rsid w:val="00EE10F6"/>
    <w:rsid w:val="00EE4305"/>
    <w:rsid w:val="00EE6A9F"/>
    <w:rsid w:val="00EF2E05"/>
    <w:rsid w:val="00EF6F7B"/>
    <w:rsid w:val="00EF72A7"/>
    <w:rsid w:val="00F00219"/>
    <w:rsid w:val="00F010D7"/>
    <w:rsid w:val="00F07C69"/>
    <w:rsid w:val="00F12A8E"/>
    <w:rsid w:val="00F1418C"/>
    <w:rsid w:val="00F16361"/>
    <w:rsid w:val="00F21E78"/>
    <w:rsid w:val="00F27FC0"/>
    <w:rsid w:val="00F34387"/>
    <w:rsid w:val="00F4122E"/>
    <w:rsid w:val="00F46FD4"/>
    <w:rsid w:val="00F669D6"/>
    <w:rsid w:val="00F7362A"/>
    <w:rsid w:val="00F771A4"/>
    <w:rsid w:val="00F8303D"/>
    <w:rsid w:val="00F9107F"/>
    <w:rsid w:val="00F954BB"/>
    <w:rsid w:val="00FB2ADC"/>
    <w:rsid w:val="00FB7194"/>
    <w:rsid w:val="00FD7B9A"/>
    <w:rsid w:val="00FE3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able of figures"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BF5"/>
    <w:rPr>
      <w:sz w:val="24"/>
      <w:szCs w:val="24"/>
    </w:rPr>
  </w:style>
  <w:style w:type="paragraph" w:styleId="Heading1">
    <w:name w:val="heading 1"/>
    <w:basedOn w:val="Normal"/>
    <w:next w:val="Normal"/>
    <w:link w:val="Heading1Char"/>
    <w:uiPriority w:val="99"/>
    <w:qFormat/>
    <w:rsid w:val="00B16BF5"/>
    <w:pPr>
      <w:keepNext/>
      <w:numPr>
        <w:numId w:val="17"/>
      </w:numPr>
      <w:tabs>
        <w:tab w:val="clear" w:pos="360"/>
        <w:tab w:val="num" w:pos="432"/>
      </w:tabs>
      <w:spacing w:before="240" w:after="60"/>
      <w:ind w:left="432" w:hanging="432"/>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16BF5"/>
    <w:pPr>
      <w:keepNext/>
      <w:numPr>
        <w:ilvl w:val="1"/>
        <w:numId w:val="17"/>
      </w:numPr>
      <w:tabs>
        <w:tab w:val="clear" w:pos="720"/>
        <w:tab w:val="num" w:pos="576"/>
      </w:tabs>
      <w:spacing w:before="240" w:after="60"/>
      <w:ind w:left="576" w:hanging="576"/>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B16BF5"/>
    <w:pPr>
      <w:keepNext/>
      <w:numPr>
        <w:ilvl w:val="2"/>
        <w:numId w:val="17"/>
      </w:numPr>
      <w:tabs>
        <w:tab w:val="clear" w:pos="1080"/>
        <w:tab w:val="num" w:pos="720"/>
      </w:tabs>
      <w:spacing w:before="240" w:after="60"/>
      <w:ind w:left="720" w:hanging="720"/>
      <w:outlineLvl w:val="2"/>
    </w:pPr>
    <w:rPr>
      <w:rFonts w:ascii="Arial" w:hAnsi="Arial" w:cs="Arial"/>
      <w:b/>
      <w:bCs/>
      <w:sz w:val="26"/>
      <w:szCs w:val="26"/>
    </w:rPr>
  </w:style>
  <w:style w:type="paragraph" w:styleId="Heading4">
    <w:name w:val="heading 4"/>
    <w:basedOn w:val="Normal"/>
    <w:next w:val="Normal"/>
    <w:link w:val="Heading4Char"/>
    <w:uiPriority w:val="99"/>
    <w:qFormat/>
    <w:rsid w:val="00B16BF5"/>
    <w:pPr>
      <w:keepNext/>
      <w:numPr>
        <w:ilvl w:val="3"/>
        <w:numId w:val="17"/>
      </w:numPr>
      <w:tabs>
        <w:tab w:val="clear" w:pos="1440"/>
        <w:tab w:val="num" w:pos="864"/>
      </w:tabs>
      <w:spacing w:before="240" w:after="60"/>
      <w:ind w:left="864" w:hanging="864"/>
      <w:outlineLvl w:val="3"/>
    </w:pPr>
    <w:rPr>
      <w:b/>
      <w:bCs/>
      <w:sz w:val="28"/>
      <w:szCs w:val="28"/>
    </w:rPr>
  </w:style>
  <w:style w:type="paragraph" w:styleId="Heading5">
    <w:name w:val="heading 5"/>
    <w:basedOn w:val="Normal"/>
    <w:next w:val="Normal"/>
    <w:link w:val="Heading5Char"/>
    <w:uiPriority w:val="99"/>
    <w:qFormat/>
    <w:rsid w:val="00B16BF5"/>
    <w:pPr>
      <w:numPr>
        <w:ilvl w:val="4"/>
        <w:numId w:val="17"/>
      </w:numPr>
      <w:tabs>
        <w:tab w:val="clear" w:pos="1800"/>
        <w:tab w:val="num" w:pos="1008"/>
      </w:tabs>
      <w:spacing w:before="240" w:after="60"/>
      <w:ind w:left="1008" w:hanging="1008"/>
      <w:outlineLvl w:val="4"/>
    </w:pPr>
    <w:rPr>
      <w:b/>
      <w:bCs/>
      <w:i/>
      <w:iCs/>
      <w:sz w:val="26"/>
      <w:szCs w:val="26"/>
    </w:rPr>
  </w:style>
  <w:style w:type="paragraph" w:styleId="Heading6">
    <w:name w:val="heading 6"/>
    <w:basedOn w:val="Normal"/>
    <w:next w:val="Normal"/>
    <w:link w:val="Heading6Char"/>
    <w:uiPriority w:val="99"/>
    <w:qFormat/>
    <w:rsid w:val="00B16BF5"/>
    <w:pPr>
      <w:numPr>
        <w:ilvl w:val="5"/>
        <w:numId w:val="17"/>
      </w:numPr>
      <w:tabs>
        <w:tab w:val="clear" w:pos="2160"/>
        <w:tab w:val="num" w:pos="1152"/>
      </w:tabs>
      <w:spacing w:before="240" w:after="60"/>
      <w:ind w:left="1152" w:hanging="1152"/>
      <w:outlineLvl w:val="5"/>
    </w:pPr>
    <w:rPr>
      <w:b/>
      <w:bCs/>
      <w:sz w:val="22"/>
      <w:szCs w:val="22"/>
    </w:rPr>
  </w:style>
  <w:style w:type="paragraph" w:styleId="Heading7">
    <w:name w:val="heading 7"/>
    <w:basedOn w:val="Normal"/>
    <w:next w:val="Normal"/>
    <w:link w:val="Heading7Char"/>
    <w:uiPriority w:val="99"/>
    <w:qFormat/>
    <w:rsid w:val="00B16BF5"/>
    <w:pPr>
      <w:numPr>
        <w:ilvl w:val="6"/>
        <w:numId w:val="17"/>
      </w:numPr>
      <w:tabs>
        <w:tab w:val="clear" w:pos="2520"/>
        <w:tab w:val="num" w:pos="1296"/>
      </w:tabs>
      <w:spacing w:before="240" w:after="60"/>
      <w:ind w:left="1296" w:hanging="1296"/>
      <w:outlineLvl w:val="6"/>
    </w:pPr>
  </w:style>
  <w:style w:type="paragraph" w:styleId="Heading8">
    <w:name w:val="heading 8"/>
    <w:basedOn w:val="Normal"/>
    <w:next w:val="Normal"/>
    <w:link w:val="Heading8Char"/>
    <w:uiPriority w:val="99"/>
    <w:qFormat/>
    <w:rsid w:val="00B16BF5"/>
    <w:pPr>
      <w:numPr>
        <w:ilvl w:val="7"/>
        <w:numId w:val="17"/>
      </w:numPr>
      <w:tabs>
        <w:tab w:val="clear" w:pos="2880"/>
        <w:tab w:val="num" w:pos="1440"/>
      </w:tabs>
      <w:spacing w:before="240" w:after="60"/>
      <w:ind w:left="1440" w:hanging="1440"/>
      <w:outlineLvl w:val="7"/>
    </w:pPr>
    <w:rPr>
      <w:i/>
      <w:iCs/>
    </w:rPr>
  </w:style>
  <w:style w:type="paragraph" w:styleId="Heading9">
    <w:name w:val="heading 9"/>
    <w:basedOn w:val="Normal"/>
    <w:next w:val="Normal"/>
    <w:link w:val="Heading9Char"/>
    <w:uiPriority w:val="99"/>
    <w:qFormat/>
    <w:rsid w:val="00B16BF5"/>
    <w:pPr>
      <w:numPr>
        <w:ilvl w:val="8"/>
        <w:numId w:val="17"/>
      </w:numPr>
      <w:tabs>
        <w:tab w:val="clear" w:pos="3240"/>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BD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94BD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94BD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94BD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94BD1"/>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394BD1"/>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394BD1"/>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394BD1"/>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394BD1"/>
    <w:rPr>
      <w:rFonts w:asciiTheme="majorHAnsi" w:eastAsiaTheme="majorEastAsia" w:hAnsiTheme="majorHAnsi" w:cstheme="majorBidi"/>
    </w:rPr>
  </w:style>
  <w:style w:type="paragraph" w:styleId="TOC2">
    <w:name w:val="toc 2"/>
    <w:basedOn w:val="Normal"/>
    <w:next w:val="Normal"/>
    <w:autoRedefine/>
    <w:uiPriority w:val="39"/>
    <w:rsid w:val="00B16BF5"/>
    <w:pPr>
      <w:ind w:left="240"/>
    </w:pPr>
  </w:style>
  <w:style w:type="paragraph" w:styleId="TOC3">
    <w:name w:val="toc 3"/>
    <w:basedOn w:val="Normal"/>
    <w:next w:val="Normal"/>
    <w:autoRedefine/>
    <w:uiPriority w:val="39"/>
    <w:rsid w:val="00B16BF5"/>
    <w:pPr>
      <w:ind w:left="480"/>
    </w:pPr>
  </w:style>
  <w:style w:type="character" w:styleId="Hyperlink">
    <w:name w:val="Hyperlink"/>
    <w:basedOn w:val="DefaultParagraphFont"/>
    <w:uiPriority w:val="99"/>
    <w:rsid w:val="00B16BF5"/>
    <w:rPr>
      <w:rFonts w:cs="Times New Roman"/>
      <w:color w:val="0000FF"/>
      <w:u w:val="single"/>
    </w:rPr>
  </w:style>
  <w:style w:type="paragraph" w:styleId="TOC1">
    <w:name w:val="toc 1"/>
    <w:basedOn w:val="Normal"/>
    <w:next w:val="Normal"/>
    <w:autoRedefine/>
    <w:uiPriority w:val="39"/>
    <w:rsid w:val="00B16BF5"/>
  </w:style>
  <w:style w:type="paragraph" w:styleId="Header">
    <w:name w:val="header"/>
    <w:basedOn w:val="Normal"/>
    <w:link w:val="HeaderChar"/>
    <w:uiPriority w:val="99"/>
    <w:rsid w:val="00B16BF5"/>
    <w:pPr>
      <w:tabs>
        <w:tab w:val="center" w:pos="4320"/>
        <w:tab w:val="right" w:pos="8640"/>
      </w:tabs>
    </w:pPr>
  </w:style>
  <w:style w:type="character" w:customStyle="1" w:styleId="HeaderChar">
    <w:name w:val="Header Char"/>
    <w:basedOn w:val="DefaultParagraphFont"/>
    <w:link w:val="Header"/>
    <w:uiPriority w:val="99"/>
    <w:semiHidden/>
    <w:rsid w:val="00394BD1"/>
    <w:rPr>
      <w:sz w:val="24"/>
      <w:szCs w:val="24"/>
    </w:rPr>
  </w:style>
  <w:style w:type="paragraph" w:styleId="Footer">
    <w:name w:val="footer"/>
    <w:basedOn w:val="Normal"/>
    <w:link w:val="FooterChar"/>
    <w:uiPriority w:val="99"/>
    <w:rsid w:val="00B16BF5"/>
    <w:pPr>
      <w:tabs>
        <w:tab w:val="center" w:pos="4320"/>
        <w:tab w:val="right" w:pos="8640"/>
      </w:tabs>
    </w:pPr>
  </w:style>
  <w:style w:type="character" w:customStyle="1" w:styleId="FooterChar">
    <w:name w:val="Footer Char"/>
    <w:basedOn w:val="DefaultParagraphFont"/>
    <w:link w:val="Footer"/>
    <w:uiPriority w:val="99"/>
    <w:rsid w:val="00394BD1"/>
    <w:rPr>
      <w:sz w:val="24"/>
      <w:szCs w:val="24"/>
    </w:rPr>
  </w:style>
  <w:style w:type="character" w:styleId="PageNumber">
    <w:name w:val="page number"/>
    <w:basedOn w:val="DefaultParagraphFont"/>
    <w:uiPriority w:val="99"/>
    <w:rsid w:val="00B16BF5"/>
    <w:rPr>
      <w:rFonts w:cs="Times New Roman"/>
    </w:rPr>
  </w:style>
  <w:style w:type="character" w:styleId="FollowedHyperlink">
    <w:name w:val="FollowedHyperlink"/>
    <w:basedOn w:val="DefaultParagraphFont"/>
    <w:uiPriority w:val="99"/>
    <w:rsid w:val="00B16BF5"/>
    <w:rPr>
      <w:rFonts w:cs="Times New Roman"/>
      <w:color w:val="800080"/>
      <w:u w:val="single"/>
    </w:rPr>
  </w:style>
  <w:style w:type="paragraph" w:styleId="BalloonText">
    <w:name w:val="Balloon Text"/>
    <w:basedOn w:val="Normal"/>
    <w:link w:val="BalloonTextChar"/>
    <w:uiPriority w:val="99"/>
    <w:semiHidden/>
    <w:rsid w:val="00B16BF5"/>
    <w:rPr>
      <w:rFonts w:ascii="Tahoma" w:hAnsi="Tahoma" w:cs="Tahoma"/>
      <w:sz w:val="16"/>
      <w:szCs w:val="16"/>
    </w:rPr>
  </w:style>
  <w:style w:type="character" w:customStyle="1" w:styleId="BalloonTextChar">
    <w:name w:val="Balloon Text Char"/>
    <w:basedOn w:val="DefaultParagraphFont"/>
    <w:link w:val="BalloonText"/>
    <w:uiPriority w:val="99"/>
    <w:semiHidden/>
    <w:rsid w:val="00394BD1"/>
    <w:rPr>
      <w:sz w:val="0"/>
      <w:szCs w:val="0"/>
    </w:rPr>
  </w:style>
  <w:style w:type="paragraph" w:styleId="FootnoteText">
    <w:name w:val="footnote text"/>
    <w:basedOn w:val="Normal"/>
    <w:link w:val="FootnoteTextChar"/>
    <w:uiPriority w:val="99"/>
    <w:semiHidden/>
    <w:rsid w:val="00B16BF5"/>
    <w:rPr>
      <w:sz w:val="20"/>
      <w:szCs w:val="20"/>
    </w:rPr>
  </w:style>
  <w:style w:type="character" w:customStyle="1" w:styleId="FootnoteTextChar">
    <w:name w:val="Footnote Text Char"/>
    <w:basedOn w:val="DefaultParagraphFont"/>
    <w:link w:val="FootnoteText"/>
    <w:uiPriority w:val="99"/>
    <w:semiHidden/>
    <w:rsid w:val="00394BD1"/>
    <w:rPr>
      <w:sz w:val="20"/>
      <w:szCs w:val="20"/>
    </w:rPr>
  </w:style>
  <w:style w:type="character" w:styleId="FootnoteReference">
    <w:name w:val="footnote reference"/>
    <w:aliases w:val="o"/>
    <w:basedOn w:val="DefaultParagraphFont"/>
    <w:uiPriority w:val="99"/>
    <w:semiHidden/>
    <w:rsid w:val="00B16BF5"/>
    <w:rPr>
      <w:rFonts w:cs="Times New Roman"/>
      <w:vertAlign w:val="superscript"/>
    </w:rPr>
  </w:style>
  <w:style w:type="character" w:styleId="CommentReference">
    <w:name w:val="annotation reference"/>
    <w:basedOn w:val="DefaultParagraphFont"/>
    <w:uiPriority w:val="99"/>
    <w:semiHidden/>
    <w:rsid w:val="00B16BF5"/>
    <w:rPr>
      <w:rFonts w:cs="Times New Roman"/>
      <w:sz w:val="16"/>
      <w:szCs w:val="16"/>
    </w:rPr>
  </w:style>
  <w:style w:type="paragraph" w:styleId="CommentText">
    <w:name w:val="annotation text"/>
    <w:basedOn w:val="Normal"/>
    <w:link w:val="CommentTextChar"/>
    <w:uiPriority w:val="99"/>
    <w:semiHidden/>
    <w:rsid w:val="00B16BF5"/>
    <w:rPr>
      <w:sz w:val="20"/>
      <w:szCs w:val="20"/>
    </w:rPr>
  </w:style>
  <w:style w:type="character" w:customStyle="1" w:styleId="CommentTextChar">
    <w:name w:val="Comment Text Char"/>
    <w:basedOn w:val="DefaultParagraphFont"/>
    <w:link w:val="CommentText"/>
    <w:uiPriority w:val="99"/>
    <w:semiHidden/>
    <w:rsid w:val="00394BD1"/>
    <w:rPr>
      <w:sz w:val="20"/>
      <w:szCs w:val="20"/>
    </w:rPr>
  </w:style>
  <w:style w:type="table" w:styleId="TableGrid">
    <w:name w:val="Table Grid"/>
    <w:basedOn w:val="TableNormal"/>
    <w:uiPriority w:val="99"/>
    <w:rsid w:val="00B16BF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link w:val="CaptionChar"/>
    <w:qFormat/>
    <w:rsid w:val="00B16BF5"/>
    <w:rPr>
      <w:b/>
      <w:bCs/>
      <w:sz w:val="20"/>
      <w:szCs w:val="20"/>
    </w:rPr>
  </w:style>
  <w:style w:type="character" w:customStyle="1" w:styleId="CaptionChar">
    <w:name w:val="Caption Char"/>
    <w:basedOn w:val="DefaultParagraphFont"/>
    <w:link w:val="Caption"/>
    <w:locked/>
    <w:rsid w:val="00B16BF5"/>
    <w:rPr>
      <w:rFonts w:cs="Times New Roman"/>
      <w:b/>
      <w:bCs/>
      <w:lang w:val="en-US" w:eastAsia="en-US" w:bidi="ar-SA"/>
    </w:rPr>
  </w:style>
  <w:style w:type="paragraph" w:customStyle="1" w:styleId="sub1">
    <w:name w:val="sub1"/>
    <w:basedOn w:val="Normal"/>
    <w:uiPriority w:val="99"/>
    <w:rsid w:val="00B16BF5"/>
    <w:pPr>
      <w:spacing w:line="360" w:lineRule="auto"/>
      <w:ind w:firstLine="720"/>
    </w:pPr>
    <w:rPr>
      <w:rFonts w:ascii="Palatino" w:hAnsi="Palatino"/>
      <w:sz w:val="26"/>
      <w:szCs w:val="20"/>
    </w:rPr>
  </w:style>
  <w:style w:type="paragraph" w:styleId="ListBullet">
    <w:name w:val="List Bullet"/>
    <w:basedOn w:val="Normal"/>
    <w:link w:val="ListBulletChar"/>
    <w:uiPriority w:val="99"/>
    <w:rsid w:val="00B16BF5"/>
    <w:pPr>
      <w:tabs>
        <w:tab w:val="num" w:pos="360"/>
      </w:tabs>
      <w:ind w:left="360" w:hanging="360"/>
    </w:pPr>
  </w:style>
  <w:style w:type="character" w:customStyle="1" w:styleId="ListBulletChar">
    <w:name w:val="List Bullet Char"/>
    <w:basedOn w:val="DefaultParagraphFont"/>
    <w:link w:val="ListBullet"/>
    <w:uiPriority w:val="99"/>
    <w:locked/>
    <w:rsid w:val="00B16BF5"/>
    <w:rPr>
      <w:rFonts w:cs="Times New Roman"/>
      <w:sz w:val="24"/>
      <w:szCs w:val="24"/>
      <w:lang w:val="en-US" w:eastAsia="en-US" w:bidi="ar-SA"/>
    </w:rPr>
  </w:style>
  <w:style w:type="paragraph" w:customStyle="1" w:styleId="Noraml">
    <w:name w:val="Noraml"/>
    <w:basedOn w:val="Normal"/>
    <w:uiPriority w:val="99"/>
    <w:rsid w:val="00B16BF5"/>
    <w:pPr>
      <w:spacing w:line="360" w:lineRule="auto"/>
      <w:ind w:firstLine="720"/>
    </w:pPr>
    <w:rPr>
      <w:rFonts w:ascii="Palatino" w:hAnsi="Palatino"/>
      <w:sz w:val="26"/>
      <w:szCs w:val="20"/>
    </w:rPr>
  </w:style>
  <w:style w:type="paragraph" w:styleId="ListParagraph">
    <w:name w:val="List Paragraph"/>
    <w:basedOn w:val="Normal"/>
    <w:uiPriority w:val="99"/>
    <w:qFormat/>
    <w:rsid w:val="00B16BF5"/>
    <w:pPr>
      <w:spacing w:after="200" w:line="276" w:lineRule="auto"/>
      <w:ind w:left="720"/>
      <w:contextualSpacing/>
    </w:pPr>
    <w:rPr>
      <w:rFonts w:ascii="Calibri" w:hAnsi="Calibri"/>
      <w:sz w:val="22"/>
      <w:szCs w:val="22"/>
    </w:rPr>
  </w:style>
  <w:style w:type="paragraph" w:styleId="TableofFigures">
    <w:name w:val="table of figures"/>
    <w:basedOn w:val="Normal"/>
    <w:next w:val="Normal"/>
    <w:uiPriority w:val="99"/>
    <w:rsid w:val="00B16BF5"/>
    <w:pPr>
      <w:ind w:left="480" w:hanging="480"/>
    </w:pPr>
  </w:style>
  <w:style w:type="paragraph" w:styleId="CommentSubject">
    <w:name w:val="annotation subject"/>
    <w:basedOn w:val="CommentText"/>
    <w:next w:val="CommentText"/>
    <w:link w:val="CommentSubjectChar"/>
    <w:uiPriority w:val="99"/>
    <w:semiHidden/>
    <w:rsid w:val="00B16BF5"/>
    <w:rPr>
      <w:b/>
      <w:bCs/>
    </w:rPr>
  </w:style>
  <w:style w:type="character" w:customStyle="1" w:styleId="CommentSubjectChar">
    <w:name w:val="Comment Subject Char"/>
    <w:basedOn w:val="CommentTextChar"/>
    <w:link w:val="CommentSubject"/>
    <w:uiPriority w:val="99"/>
    <w:semiHidden/>
    <w:rsid w:val="00394BD1"/>
    <w:rPr>
      <w:b/>
      <w:bCs/>
      <w:sz w:val="20"/>
      <w:szCs w:val="20"/>
    </w:rPr>
  </w:style>
  <w:style w:type="paragraph" w:styleId="Subtitle">
    <w:name w:val="Subtitle"/>
    <w:basedOn w:val="Normal"/>
    <w:link w:val="SubtitleChar"/>
    <w:uiPriority w:val="99"/>
    <w:qFormat/>
    <w:rsid w:val="00B16BF5"/>
    <w:pPr>
      <w:spacing w:after="60"/>
      <w:jc w:val="center"/>
    </w:pPr>
    <w:rPr>
      <w:rFonts w:ascii="Arial" w:hAnsi="Arial"/>
      <w:sz w:val="26"/>
      <w:szCs w:val="20"/>
    </w:rPr>
  </w:style>
  <w:style w:type="character" w:customStyle="1" w:styleId="SubtitleChar">
    <w:name w:val="Subtitle Char"/>
    <w:basedOn w:val="DefaultParagraphFont"/>
    <w:link w:val="Subtitle"/>
    <w:uiPriority w:val="11"/>
    <w:rsid w:val="00394BD1"/>
    <w:rPr>
      <w:rFonts w:asciiTheme="majorHAnsi" w:eastAsiaTheme="majorEastAsia" w:hAnsiTheme="majorHAnsi" w:cstheme="majorBidi"/>
      <w:sz w:val="24"/>
      <w:szCs w:val="24"/>
    </w:rPr>
  </w:style>
  <w:style w:type="character" w:styleId="Strong">
    <w:name w:val="Strong"/>
    <w:basedOn w:val="DefaultParagraphFont"/>
    <w:uiPriority w:val="99"/>
    <w:qFormat/>
    <w:rsid w:val="00B16BF5"/>
    <w:rPr>
      <w:rFonts w:cs="Times New Roman"/>
      <w:b/>
      <w:bCs/>
    </w:rPr>
  </w:style>
  <w:style w:type="character" w:customStyle="1" w:styleId="CharChar2">
    <w:name w:val="Char Char2"/>
    <w:basedOn w:val="DefaultParagraphFont"/>
    <w:uiPriority w:val="99"/>
    <w:rsid w:val="00B16BF5"/>
    <w:rPr>
      <w:rFonts w:cs="Times New Roman"/>
      <w:b/>
      <w:bCs/>
      <w:lang w:val="en-US" w:eastAsia="en-US" w:bidi="ar-SA"/>
    </w:rPr>
  </w:style>
  <w:style w:type="paragraph" w:styleId="Revision">
    <w:name w:val="Revision"/>
    <w:hidden/>
    <w:uiPriority w:val="99"/>
    <w:semiHidden/>
    <w:rsid w:val="0033102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able of figures"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BF5"/>
    <w:rPr>
      <w:sz w:val="24"/>
      <w:szCs w:val="24"/>
    </w:rPr>
  </w:style>
  <w:style w:type="paragraph" w:styleId="Heading1">
    <w:name w:val="heading 1"/>
    <w:basedOn w:val="Normal"/>
    <w:next w:val="Normal"/>
    <w:link w:val="Heading1Char"/>
    <w:uiPriority w:val="99"/>
    <w:qFormat/>
    <w:rsid w:val="00B16BF5"/>
    <w:pPr>
      <w:keepNext/>
      <w:numPr>
        <w:numId w:val="17"/>
      </w:numPr>
      <w:tabs>
        <w:tab w:val="clear" w:pos="360"/>
        <w:tab w:val="num" w:pos="432"/>
      </w:tabs>
      <w:spacing w:before="240" w:after="60"/>
      <w:ind w:left="432" w:hanging="432"/>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16BF5"/>
    <w:pPr>
      <w:keepNext/>
      <w:numPr>
        <w:ilvl w:val="1"/>
        <w:numId w:val="17"/>
      </w:numPr>
      <w:tabs>
        <w:tab w:val="clear" w:pos="720"/>
        <w:tab w:val="num" w:pos="576"/>
      </w:tabs>
      <w:spacing w:before="240" w:after="60"/>
      <w:ind w:left="576" w:hanging="576"/>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B16BF5"/>
    <w:pPr>
      <w:keepNext/>
      <w:numPr>
        <w:ilvl w:val="2"/>
        <w:numId w:val="17"/>
      </w:numPr>
      <w:tabs>
        <w:tab w:val="clear" w:pos="1080"/>
        <w:tab w:val="num" w:pos="720"/>
      </w:tabs>
      <w:spacing w:before="240" w:after="60"/>
      <w:ind w:left="720" w:hanging="720"/>
      <w:outlineLvl w:val="2"/>
    </w:pPr>
    <w:rPr>
      <w:rFonts w:ascii="Arial" w:hAnsi="Arial" w:cs="Arial"/>
      <w:b/>
      <w:bCs/>
      <w:sz w:val="26"/>
      <w:szCs w:val="26"/>
    </w:rPr>
  </w:style>
  <w:style w:type="paragraph" w:styleId="Heading4">
    <w:name w:val="heading 4"/>
    <w:basedOn w:val="Normal"/>
    <w:next w:val="Normal"/>
    <w:link w:val="Heading4Char"/>
    <w:uiPriority w:val="99"/>
    <w:qFormat/>
    <w:rsid w:val="00B16BF5"/>
    <w:pPr>
      <w:keepNext/>
      <w:numPr>
        <w:ilvl w:val="3"/>
        <w:numId w:val="17"/>
      </w:numPr>
      <w:tabs>
        <w:tab w:val="clear" w:pos="1440"/>
        <w:tab w:val="num" w:pos="864"/>
      </w:tabs>
      <w:spacing w:before="240" w:after="60"/>
      <w:ind w:left="864" w:hanging="864"/>
      <w:outlineLvl w:val="3"/>
    </w:pPr>
    <w:rPr>
      <w:b/>
      <w:bCs/>
      <w:sz w:val="28"/>
      <w:szCs w:val="28"/>
    </w:rPr>
  </w:style>
  <w:style w:type="paragraph" w:styleId="Heading5">
    <w:name w:val="heading 5"/>
    <w:basedOn w:val="Normal"/>
    <w:next w:val="Normal"/>
    <w:link w:val="Heading5Char"/>
    <w:uiPriority w:val="99"/>
    <w:qFormat/>
    <w:rsid w:val="00B16BF5"/>
    <w:pPr>
      <w:numPr>
        <w:ilvl w:val="4"/>
        <w:numId w:val="17"/>
      </w:numPr>
      <w:tabs>
        <w:tab w:val="clear" w:pos="1800"/>
        <w:tab w:val="num" w:pos="1008"/>
      </w:tabs>
      <w:spacing w:before="240" w:after="60"/>
      <w:ind w:left="1008" w:hanging="1008"/>
      <w:outlineLvl w:val="4"/>
    </w:pPr>
    <w:rPr>
      <w:b/>
      <w:bCs/>
      <w:i/>
      <w:iCs/>
      <w:sz w:val="26"/>
      <w:szCs w:val="26"/>
    </w:rPr>
  </w:style>
  <w:style w:type="paragraph" w:styleId="Heading6">
    <w:name w:val="heading 6"/>
    <w:basedOn w:val="Normal"/>
    <w:next w:val="Normal"/>
    <w:link w:val="Heading6Char"/>
    <w:uiPriority w:val="99"/>
    <w:qFormat/>
    <w:rsid w:val="00B16BF5"/>
    <w:pPr>
      <w:numPr>
        <w:ilvl w:val="5"/>
        <w:numId w:val="17"/>
      </w:numPr>
      <w:tabs>
        <w:tab w:val="clear" w:pos="2160"/>
        <w:tab w:val="num" w:pos="1152"/>
      </w:tabs>
      <w:spacing w:before="240" w:after="60"/>
      <w:ind w:left="1152" w:hanging="1152"/>
      <w:outlineLvl w:val="5"/>
    </w:pPr>
    <w:rPr>
      <w:b/>
      <w:bCs/>
      <w:sz w:val="22"/>
      <w:szCs w:val="22"/>
    </w:rPr>
  </w:style>
  <w:style w:type="paragraph" w:styleId="Heading7">
    <w:name w:val="heading 7"/>
    <w:basedOn w:val="Normal"/>
    <w:next w:val="Normal"/>
    <w:link w:val="Heading7Char"/>
    <w:uiPriority w:val="99"/>
    <w:qFormat/>
    <w:rsid w:val="00B16BF5"/>
    <w:pPr>
      <w:numPr>
        <w:ilvl w:val="6"/>
        <w:numId w:val="17"/>
      </w:numPr>
      <w:tabs>
        <w:tab w:val="clear" w:pos="2520"/>
        <w:tab w:val="num" w:pos="1296"/>
      </w:tabs>
      <w:spacing w:before="240" w:after="60"/>
      <w:ind w:left="1296" w:hanging="1296"/>
      <w:outlineLvl w:val="6"/>
    </w:pPr>
  </w:style>
  <w:style w:type="paragraph" w:styleId="Heading8">
    <w:name w:val="heading 8"/>
    <w:basedOn w:val="Normal"/>
    <w:next w:val="Normal"/>
    <w:link w:val="Heading8Char"/>
    <w:uiPriority w:val="99"/>
    <w:qFormat/>
    <w:rsid w:val="00B16BF5"/>
    <w:pPr>
      <w:numPr>
        <w:ilvl w:val="7"/>
        <w:numId w:val="17"/>
      </w:numPr>
      <w:tabs>
        <w:tab w:val="clear" w:pos="2880"/>
        <w:tab w:val="num" w:pos="1440"/>
      </w:tabs>
      <w:spacing w:before="240" w:after="60"/>
      <w:ind w:left="1440" w:hanging="1440"/>
      <w:outlineLvl w:val="7"/>
    </w:pPr>
    <w:rPr>
      <w:i/>
      <w:iCs/>
    </w:rPr>
  </w:style>
  <w:style w:type="paragraph" w:styleId="Heading9">
    <w:name w:val="heading 9"/>
    <w:basedOn w:val="Normal"/>
    <w:next w:val="Normal"/>
    <w:link w:val="Heading9Char"/>
    <w:uiPriority w:val="99"/>
    <w:qFormat/>
    <w:rsid w:val="00B16BF5"/>
    <w:pPr>
      <w:numPr>
        <w:ilvl w:val="8"/>
        <w:numId w:val="17"/>
      </w:numPr>
      <w:tabs>
        <w:tab w:val="clear" w:pos="3240"/>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BD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94BD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94BD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94BD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94BD1"/>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394BD1"/>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394BD1"/>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394BD1"/>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394BD1"/>
    <w:rPr>
      <w:rFonts w:asciiTheme="majorHAnsi" w:eastAsiaTheme="majorEastAsia" w:hAnsiTheme="majorHAnsi" w:cstheme="majorBidi"/>
    </w:rPr>
  </w:style>
  <w:style w:type="paragraph" w:styleId="TOC2">
    <w:name w:val="toc 2"/>
    <w:basedOn w:val="Normal"/>
    <w:next w:val="Normal"/>
    <w:autoRedefine/>
    <w:uiPriority w:val="39"/>
    <w:rsid w:val="00B16BF5"/>
    <w:pPr>
      <w:ind w:left="240"/>
    </w:pPr>
  </w:style>
  <w:style w:type="paragraph" w:styleId="TOC3">
    <w:name w:val="toc 3"/>
    <w:basedOn w:val="Normal"/>
    <w:next w:val="Normal"/>
    <w:autoRedefine/>
    <w:uiPriority w:val="39"/>
    <w:rsid w:val="00B16BF5"/>
    <w:pPr>
      <w:ind w:left="480"/>
    </w:pPr>
  </w:style>
  <w:style w:type="character" w:styleId="Hyperlink">
    <w:name w:val="Hyperlink"/>
    <w:basedOn w:val="DefaultParagraphFont"/>
    <w:uiPriority w:val="99"/>
    <w:rsid w:val="00B16BF5"/>
    <w:rPr>
      <w:rFonts w:cs="Times New Roman"/>
      <w:color w:val="0000FF"/>
      <w:u w:val="single"/>
    </w:rPr>
  </w:style>
  <w:style w:type="paragraph" w:styleId="TOC1">
    <w:name w:val="toc 1"/>
    <w:basedOn w:val="Normal"/>
    <w:next w:val="Normal"/>
    <w:autoRedefine/>
    <w:uiPriority w:val="39"/>
    <w:rsid w:val="00B16BF5"/>
  </w:style>
  <w:style w:type="paragraph" w:styleId="Header">
    <w:name w:val="header"/>
    <w:basedOn w:val="Normal"/>
    <w:link w:val="HeaderChar"/>
    <w:uiPriority w:val="99"/>
    <w:rsid w:val="00B16BF5"/>
    <w:pPr>
      <w:tabs>
        <w:tab w:val="center" w:pos="4320"/>
        <w:tab w:val="right" w:pos="8640"/>
      </w:tabs>
    </w:pPr>
  </w:style>
  <w:style w:type="character" w:customStyle="1" w:styleId="HeaderChar">
    <w:name w:val="Header Char"/>
    <w:basedOn w:val="DefaultParagraphFont"/>
    <w:link w:val="Header"/>
    <w:uiPriority w:val="99"/>
    <w:semiHidden/>
    <w:rsid w:val="00394BD1"/>
    <w:rPr>
      <w:sz w:val="24"/>
      <w:szCs w:val="24"/>
    </w:rPr>
  </w:style>
  <w:style w:type="paragraph" w:styleId="Footer">
    <w:name w:val="footer"/>
    <w:basedOn w:val="Normal"/>
    <w:link w:val="FooterChar"/>
    <w:uiPriority w:val="99"/>
    <w:rsid w:val="00B16BF5"/>
    <w:pPr>
      <w:tabs>
        <w:tab w:val="center" w:pos="4320"/>
        <w:tab w:val="right" w:pos="8640"/>
      </w:tabs>
    </w:pPr>
  </w:style>
  <w:style w:type="character" w:customStyle="1" w:styleId="FooterChar">
    <w:name w:val="Footer Char"/>
    <w:basedOn w:val="DefaultParagraphFont"/>
    <w:link w:val="Footer"/>
    <w:uiPriority w:val="99"/>
    <w:rsid w:val="00394BD1"/>
    <w:rPr>
      <w:sz w:val="24"/>
      <w:szCs w:val="24"/>
    </w:rPr>
  </w:style>
  <w:style w:type="character" w:styleId="PageNumber">
    <w:name w:val="page number"/>
    <w:basedOn w:val="DefaultParagraphFont"/>
    <w:uiPriority w:val="99"/>
    <w:rsid w:val="00B16BF5"/>
    <w:rPr>
      <w:rFonts w:cs="Times New Roman"/>
    </w:rPr>
  </w:style>
  <w:style w:type="character" w:styleId="FollowedHyperlink">
    <w:name w:val="FollowedHyperlink"/>
    <w:basedOn w:val="DefaultParagraphFont"/>
    <w:uiPriority w:val="99"/>
    <w:rsid w:val="00B16BF5"/>
    <w:rPr>
      <w:rFonts w:cs="Times New Roman"/>
      <w:color w:val="800080"/>
      <w:u w:val="single"/>
    </w:rPr>
  </w:style>
  <w:style w:type="paragraph" w:styleId="BalloonText">
    <w:name w:val="Balloon Text"/>
    <w:basedOn w:val="Normal"/>
    <w:link w:val="BalloonTextChar"/>
    <w:uiPriority w:val="99"/>
    <w:semiHidden/>
    <w:rsid w:val="00B16BF5"/>
    <w:rPr>
      <w:rFonts w:ascii="Tahoma" w:hAnsi="Tahoma" w:cs="Tahoma"/>
      <w:sz w:val="16"/>
      <w:szCs w:val="16"/>
    </w:rPr>
  </w:style>
  <w:style w:type="character" w:customStyle="1" w:styleId="BalloonTextChar">
    <w:name w:val="Balloon Text Char"/>
    <w:basedOn w:val="DefaultParagraphFont"/>
    <w:link w:val="BalloonText"/>
    <w:uiPriority w:val="99"/>
    <w:semiHidden/>
    <w:rsid w:val="00394BD1"/>
    <w:rPr>
      <w:sz w:val="0"/>
      <w:szCs w:val="0"/>
    </w:rPr>
  </w:style>
  <w:style w:type="paragraph" w:styleId="FootnoteText">
    <w:name w:val="footnote text"/>
    <w:basedOn w:val="Normal"/>
    <w:link w:val="FootnoteTextChar"/>
    <w:uiPriority w:val="99"/>
    <w:semiHidden/>
    <w:rsid w:val="00B16BF5"/>
    <w:rPr>
      <w:sz w:val="20"/>
      <w:szCs w:val="20"/>
    </w:rPr>
  </w:style>
  <w:style w:type="character" w:customStyle="1" w:styleId="FootnoteTextChar">
    <w:name w:val="Footnote Text Char"/>
    <w:basedOn w:val="DefaultParagraphFont"/>
    <w:link w:val="FootnoteText"/>
    <w:uiPriority w:val="99"/>
    <w:semiHidden/>
    <w:rsid w:val="00394BD1"/>
    <w:rPr>
      <w:sz w:val="20"/>
      <w:szCs w:val="20"/>
    </w:rPr>
  </w:style>
  <w:style w:type="character" w:styleId="FootnoteReference">
    <w:name w:val="footnote reference"/>
    <w:aliases w:val="o"/>
    <w:basedOn w:val="DefaultParagraphFont"/>
    <w:uiPriority w:val="99"/>
    <w:semiHidden/>
    <w:rsid w:val="00B16BF5"/>
    <w:rPr>
      <w:rFonts w:cs="Times New Roman"/>
      <w:vertAlign w:val="superscript"/>
    </w:rPr>
  </w:style>
  <w:style w:type="character" w:styleId="CommentReference">
    <w:name w:val="annotation reference"/>
    <w:basedOn w:val="DefaultParagraphFont"/>
    <w:uiPriority w:val="99"/>
    <w:semiHidden/>
    <w:rsid w:val="00B16BF5"/>
    <w:rPr>
      <w:rFonts w:cs="Times New Roman"/>
      <w:sz w:val="16"/>
      <w:szCs w:val="16"/>
    </w:rPr>
  </w:style>
  <w:style w:type="paragraph" w:styleId="CommentText">
    <w:name w:val="annotation text"/>
    <w:basedOn w:val="Normal"/>
    <w:link w:val="CommentTextChar"/>
    <w:uiPriority w:val="99"/>
    <w:semiHidden/>
    <w:rsid w:val="00B16BF5"/>
    <w:rPr>
      <w:sz w:val="20"/>
      <w:szCs w:val="20"/>
    </w:rPr>
  </w:style>
  <w:style w:type="character" w:customStyle="1" w:styleId="CommentTextChar">
    <w:name w:val="Comment Text Char"/>
    <w:basedOn w:val="DefaultParagraphFont"/>
    <w:link w:val="CommentText"/>
    <w:uiPriority w:val="99"/>
    <w:semiHidden/>
    <w:rsid w:val="00394BD1"/>
    <w:rPr>
      <w:sz w:val="20"/>
      <w:szCs w:val="20"/>
    </w:rPr>
  </w:style>
  <w:style w:type="table" w:styleId="TableGrid">
    <w:name w:val="Table Grid"/>
    <w:basedOn w:val="TableNormal"/>
    <w:uiPriority w:val="99"/>
    <w:rsid w:val="00B16BF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link w:val="CaptionChar"/>
    <w:qFormat/>
    <w:rsid w:val="00B16BF5"/>
    <w:rPr>
      <w:b/>
      <w:bCs/>
      <w:sz w:val="20"/>
      <w:szCs w:val="20"/>
    </w:rPr>
  </w:style>
  <w:style w:type="character" w:customStyle="1" w:styleId="CaptionChar">
    <w:name w:val="Caption Char"/>
    <w:basedOn w:val="DefaultParagraphFont"/>
    <w:link w:val="Caption"/>
    <w:locked/>
    <w:rsid w:val="00B16BF5"/>
    <w:rPr>
      <w:rFonts w:cs="Times New Roman"/>
      <w:b/>
      <w:bCs/>
      <w:lang w:val="en-US" w:eastAsia="en-US" w:bidi="ar-SA"/>
    </w:rPr>
  </w:style>
  <w:style w:type="paragraph" w:customStyle="1" w:styleId="sub1">
    <w:name w:val="sub1"/>
    <w:basedOn w:val="Normal"/>
    <w:uiPriority w:val="99"/>
    <w:rsid w:val="00B16BF5"/>
    <w:pPr>
      <w:spacing w:line="360" w:lineRule="auto"/>
      <w:ind w:firstLine="720"/>
    </w:pPr>
    <w:rPr>
      <w:rFonts w:ascii="Palatino" w:hAnsi="Palatino"/>
      <w:sz w:val="26"/>
      <w:szCs w:val="20"/>
    </w:rPr>
  </w:style>
  <w:style w:type="paragraph" w:styleId="ListBullet">
    <w:name w:val="List Bullet"/>
    <w:basedOn w:val="Normal"/>
    <w:link w:val="ListBulletChar"/>
    <w:uiPriority w:val="99"/>
    <w:rsid w:val="00B16BF5"/>
    <w:pPr>
      <w:tabs>
        <w:tab w:val="num" w:pos="360"/>
      </w:tabs>
      <w:ind w:left="360" w:hanging="360"/>
    </w:pPr>
  </w:style>
  <w:style w:type="character" w:customStyle="1" w:styleId="ListBulletChar">
    <w:name w:val="List Bullet Char"/>
    <w:basedOn w:val="DefaultParagraphFont"/>
    <w:link w:val="ListBullet"/>
    <w:uiPriority w:val="99"/>
    <w:locked/>
    <w:rsid w:val="00B16BF5"/>
    <w:rPr>
      <w:rFonts w:cs="Times New Roman"/>
      <w:sz w:val="24"/>
      <w:szCs w:val="24"/>
      <w:lang w:val="en-US" w:eastAsia="en-US" w:bidi="ar-SA"/>
    </w:rPr>
  </w:style>
  <w:style w:type="paragraph" w:customStyle="1" w:styleId="Noraml">
    <w:name w:val="Noraml"/>
    <w:basedOn w:val="Normal"/>
    <w:uiPriority w:val="99"/>
    <w:rsid w:val="00B16BF5"/>
    <w:pPr>
      <w:spacing w:line="360" w:lineRule="auto"/>
      <w:ind w:firstLine="720"/>
    </w:pPr>
    <w:rPr>
      <w:rFonts w:ascii="Palatino" w:hAnsi="Palatino"/>
      <w:sz w:val="26"/>
      <w:szCs w:val="20"/>
    </w:rPr>
  </w:style>
  <w:style w:type="paragraph" w:styleId="ListParagraph">
    <w:name w:val="List Paragraph"/>
    <w:basedOn w:val="Normal"/>
    <w:uiPriority w:val="99"/>
    <w:qFormat/>
    <w:rsid w:val="00B16BF5"/>
    <w:pPr>
      <w:spacing w:after="200" w:line="276" w:lineRule="auto"/>
      <w:ind w:left="720"/>
      <w:contextualSpacing/>
    </w:pPr>
    <w:rPr>
      <w:rFonts w:ascii="Calibri" w:hAnsi="Calibri"/>
      <w:sz w:val="22"/>
      <w:szCs w:val="22"/>
    </w:rPr>
  </w:style>
  <w:style w:type="paragraph" w:styleId="TableofFigures">
    <w:name w:val="table of figures"/>
    <w:basedOn w:val="Normal"/>
    <w:next w:val="Normal"/>
    <w:uiPriority w:val="99"/>
    <w:rsid w:val="00B16BF5"/>
    <w:pPr>
      <w:ind w:left="480" w:hanging="480"/>
    </w:pPr>
  </w:style>
  <w:style w:type="paragraph" w:styleId="CommentSubject">
    <w:name w:val="annotation subject"/>
    <w:basedOn w:val="CommentText"/>
    <w:next w:val="CommentText"/>
    <w:link w:val="CommentSubjectChar"/>
    <w:uiPriority w:val="99"/>
    <w:semiHidden/>
    <w:rsid w:val="00B16BF5"/>
    <w:rPr>
      <w:b/>
      <w:bCs/>
    </w:rPr>
  </w:style>
  <w:style w:type="character" w:customStyle="1" w:styleId="CommentSubjectChar">
    <w:name w:val="Comment Subject Char"/>
    <w:basedOn w:val="CommentTextChar"/>
    <w:link w:val="CommentSubject"/>
    <w:uiPriority w:val="99"/>
    <w:semiHidden/>
    <w:rsid w:val="00394BD1"/>
    <w:rPr>
      <w:b/>
      <w:bCs/>
      <w:sz w:val="20"/>
      <w:szCs w:val="20"/>
    </w:rPr>
  </w:style>
  <w:style w:type="paragraph" w:styleId="Subtitle">
    <w:name w:val="Subtitle"/>
    <w:basedOn w:val="Normal"/>
    <w:link w:val="SubtitleChar"/>
    <w:uiPriority w:val="99"/>
    <w:qFormat/>
    <w:rsid w:val="00B16BF5"/>
    <w:pPr>
      <w:spacing w:after="60"/>
      <w:jc w:val="center"/>
    </w:pPr>
    <w:rPr>
      <w:rFonts w:ascii="Arial" w:hAnsi="Arial"/>
      <w:sz w:val="26"/>
      <w:szCs w:val="20"/>
    </w:rPr>
  </w:style>
  <w:style w:type="character" w:customStyle="1" w:styleId="SubtitleChar">
    <w:name w:val="Subtitle Char"/>
    <w:basedOn w:val="DefaultParagraphFont"/>
    <w:link w:val="Subtitle"/>
    <w:uiPriority w:val="11"/>
    <w:rsid w:val="00394BD1"/>
    <w:rPr>
      <w:rFonts w:asciiTheme="majorHAnsi" w:eastAsiaTheme="majorEastAsia" w:hAnsiTheme="majorHAnsi" w:cstheme="majorBidi"/>
      <w:sz w:val="24"/>
      <w:szCs w:val="24"/>
    </w:rPr>
  </w:style>
  <w:style w:type="character" w:styleId="Strong">
    <w:name w:val="Strong"/>
    <w:basedOn w:val="DefaultParagraphFont"/>
    <w:uiPriority w:val="99"/>
    <w:qFormat/>
    <w:rsid w:val="00B16BF5"/>
    <w:rPr>
      <w:rFonts w:cs="Times New Roman"/>
      <w:b/>
      <w:bCs/>
    </w:rPr>
  </w:style>
  <w:style w:type="character" w:customStyle="1" w:styleId="CharChar2">
    <w:name w:val="Char Char2"/>
    <w:basedOn w:val="DefaultParagraphFont"/>
    <w:uiPriority w:val="99"/>
    <w:rsid w:val="00B16BF5"/>
    <w:rPr>
      <w:rFonts w:cs="Times New Roman"/>
      <w:b/>
      <w:bCs/>
      <w:lang w:val="en-US" w:eastAsia="en-US" w:bidi="ar-SA"/>
    </w:rPr>
  </w:style>
  <w:style w:type="paragraph" w:styleId="Revision">
    <w:name w:val="Revision"/>
    <w:hidden/>
    <w:uiPriority w:val="99"/>
    <w:semiHidden/>
    <w:rsid w:val="003310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853360">
      <w:marLeft w:val="0"/>
      <w:marRight w:val="0"/>
      <w:marTop w:val="0"/>
      <w:marBottom w:val="0"/>
      <w:divBdr>
        <w:top w:val="none" w:sz="0" w:space="0" w:color="auto"/>
        <w:left w:val="none" w:sz="0" w:space="0" w:color="auto"/>
        <w:bottom w:val="none" w:sz="0" w:space="0" w:color="auto"/>
        <w:right w:val="none" w:sz="0" w:space="0" w:color="auto"/>
      </w:divBdr>
    </w:div>
    <w:div w:id="264853361">
      <w:marLeft w:val="0"/>
      <w:marRight w:val="0"/>
      <w:marTop w:val="0"/>
      <w:marBottom w:val="0"/>
      <w:divBdr>
        <w:top w:val="none" w:sz="0" w:space="0" w:color="auto"/>
        <w:left w:val="none" w:sz="0" w:space="0" w:color="auto"/>
        <w:bottom w:val="none" w:sz="0" w:space="0" w:color="auto"/>
        <w:right w:val="none" w:sz="0" w:space="0" w:color="auto"/>
      </w:divBdr>
    </w:div>
    <w:div w:id="264853362">
      <w:marLeft w:val="0"/>
      <w:marRight w:val="0"/>
      <w:marTop w:val="0"/>
      <w:marBottom w:val="0"/>
      <w:divBdr>
        <w:top w:val="none" w:sz="0" w:space="0" w:color="auto"/>
        <w:left w:val="none" w:sz="0" w:space="0" w:color="auto"/>
        <w:bottom w:val="none" w:sz="0" w:space="0" w:color="auto"/>
        <w:right w:val="none" w:sz="0" w:space="0" w:color="auto"/>
      </w:divBdr>
    </w:div>
    <w:div w:id="264853363">
      <w:marLeft w:val="0"/>
      <w:marRight w:val="0"/>
      <w:marTop w:val="0"/>
      <w:marBottom w:val="0"/>
      <w:divBdr>
        <w:top w:val="none" w:sz="0" w:space="0" w:color="auto"/>
        <w:left w:val="none" w:sz="0" w:space="0" w:color="auto"/>
        <w:bottom w:val="none" w:sz="0" w:space="0" w:color="auto"/>
        <w:right w:val="none" w:sz="0" w:space="0" w:color="auto"/>
      </w:divBdr>
    </w:div>
    <w:div w:id="264853364">
      <w:marLeft w:val="0"/>
      <w:marRight w:val="0"/>
      <w:marTop w:val="0"/>
      <w:marBottom w:val="0"/>
      <w:divBdr>
        <w:top w:val="none" w:sz="0" w:space="0" w:color="auto"/>
        <w:left w:val="none" w:sz="0" w:space="0" w:color="auto"/>
        <w:bottom w:val="none" w:sz="0" w:space="0" w:color="auto"/>
        <w:right w:val="none" w:sz="0" w:space="0" w:color="auto"/>
      </w:divBdr>
    </w:div>
    <w:div w:id="264853365">
      <w:marLeft w:val="0"/>
      <w:marRight w:val="0"/>
      <w:marTop w:val="0"/>
      <w:marBottom w:val="0"/>
      <w:divBdr>
        <w:top w:val="none" w:sz="0" w:space="0" w:color="auto"/>
        <w:left w:val="none" w:sz="0" w:space="0" w:color="auto"/>
        <w:bottom w:val="none" w:sz="0" w:space="0" w:color="auto"/>
        <w:right w:val="none" w:sz="0" w:space="0" w:color="auto"/>
      </w:divBdr>
    </w:div>
    <w:div w:id="264853366">
      <w:marLeft w:val="0"/>
      <w:marRight w:val="0"/>
      <w:marTop w:val="0"/>
      <w:marBottom w:val="0"/>
      <w:divBdr>
        <w:top w:val="none" w:sz="0" w:space="0" w:color="auto"/>
        <w:left w:val="none" w:sz="0" w:space="0" w:color="auto"/>
        <w:bottom w:val="none" w:sz="0" w:space="0" w:color="auto"/>
        <w:right w:val="none" w:sz="0" w:space="0" w:color="auto"/>
      </w:divBdr>
    </w:div>
    <w:div w:id="264853367">
      <w:marLeft w:val="0"/>
      <w:marRight w:val="0"/>
      <w:marTop w:val="0"/>
      <w:marBottom w:val="0"/>
      <w:divBdr>
        <w:top w:val="none" w:sz="0" w:space="0" w:color="auto"/>
        <w:left w:val="none" w:sz="0" w:space="0" w:color="auto"/>
        <w:bottom w:val="none" w:sz="0" w:space="0" w:color="auto"/>
        <w:right w:val="none" w:sz="0" w:space="0" w:color="auto"/>
      </w:divBdr>
    </w:div>
    <w:div w:id="264853368">
      <w:marLeft w:val="0"/>
      <w:marRight w:val="0"/>
      <w:marTop w:val="0"/>
      <w:marBottom w:val="0"/>
      <w:divBdr>
        <w:top w:val="none" w:sz="0" w:space="0" w:color="auto"/>
        <w:left w:val="none" w:sz="0" w:space="0" w:color="auto"/>
        <w:bottom w:val="none" w:sz="0" w:space="0" w:color="auto"/>
        <w:right w:val="none" w:sz="0" w:space="0" w:color="auto"/>
      </w:divBdr>
    </w:div>
    <w:div w:id="264853369">
      <w:marLeft w:val="0"/>
      <w:marRight w:val="0"/>
      <w:marTop w:val="0"/>
      <w:marBottom w:val="0"/>
      <w:divBdr>
        <w:top w:val="none" w:sz="0" w:space="0" w:color="auto"/>
        <w:left w:val="none" w:sz="0" w:space="0" w:color="auto"/>
        <w:bottom w:val="none" w:sz="0" w:space="0" w:color="auto"/>
        <w:right w:val="none" w:sz="0" w:space="0" w:color="auto"/>
      </w:divBdr>
    </w:div>
    <w:div w:id="264853370">
      <w:marLeft w:val="0"/>
      <w:marRight w:val="0"/>
      <w:marTop w:val="0"/>
      <w:marBottom w:val="0"/>
      <w:divBdr>
        <w:top w:val="none" w:sz="0" w:space="0" w:color="auto"/>
        <w:left w:val="none" w:sz="0" w:space="0" w:color="auto"/>
        <w:bottom w:val="none" w:sz="0" w:space="0" w:color="auto"/>
        <w:right w:val="none" w:sz="0" w:space="0" w:color="auto"/>
      </w:divBdr>
    </w:div>
    <w:div w:id="264853371">
      <w:marLeft w:val="0"/>
      <w:marRight w:val="0"/>
      <w:marTop w:val="0"/>
      <w:marBottom w:val="0"/>
      <w:divBdr>
        <w:top w:val="none" w:sz="0" w:space="0" w:color="auto"/>
        <w:left w:val="none" w:sz="0" w:space="0" w:color="auto"/>
        <w:bottom w:val="none" w:sz="0" w:space="0" w:color="auto"/>
        <w:right w:val="none" w:sz="0" w:space="0" w:color="auto"/>
      </w:divBdr>
    </w:div>
    <w:div w:id="264853372">
      <w:marLeft w:val="0"/>
      <w:marRight w:val="0"/>
      <w:marTop w:val="0"/>
      <w:marBottom w:val="0"/>
      <w:divBdr>
        <w:top w:val="none" w:sz="0" w:space="0" w:color="auto"/>
        <w:left w:val="none" w:sz="0" w:space="0" w:color="auto"/>
        <w:bottom w:val="none" w:sz="0" w:space="0" w:color="auto"/>
        <w:right w:val="none" w:sz="0" w:space="0" w:color="auto"/>
      </w:divBdr>
    </w:div>
    <w:div w:id="264853373">
      <w:marLeft w:val="0"/>
      <w:marRight w:val="0"/>
      <w:marTop w:val="0"/>
      <w:marBottom w:val="0"/>
      <w:divBdr>
        <w:top w:val="none" w:sz="0" w:space="0" w:color="auto"/>
        <w:left w:val="none" w:sz="0" w:space="0" w:color="auto"/>
        <w:bottom w:val="none" w:sz="0" w:space="0" w:color="auto"/>
        <w:right w:val="none" w:sz="0" w:space="0" w:color="auto"/>
      </w:divBdr>
    </w:div>
    <w:div w:id="264853374">
      <w:marLeft w:val="0"/>
      <w:marRight w:val="0"/>
      <w:marTop w:val="0"/>
      <w:marBottom w:val="0"/>
      <w:divBdr>
        <w:top w:val="none" w:sz="0" w:space="0" w:color="auto"/>
        <w:left w:val="none" w:sz="0" w:space="0" w:color="auto"/>
        <w:bottom w:val="none" w:sz="0" w:space="0" w:color="auto"/>
        <w:right w:val="none" w:sz="0" w:space="0" w:color="auto"/>
      </w:divBdr>
    </w:div>
    <w:div w:id="264853375">
      <w:marLeft w:val="0"/>
      <w:marRight w:val="0"/>
      <w:marTop w:val="0"/>
      <w:marBottom w:val="0"/>
      <w:divBdr>
        <w:top w:val="none" w:sz="0" w:space="0" w:color="auto"/>
        <w:left w:val="none" w:sz="0" w:space="0" w:color="auto"/>
        <w:bottom w:val="none" w:sz="0" w:space="0" w:color="auto"/>
        <w:right w:val="none" w:sz="0" w:space="0" w:color="auto"/>
      </w:divBdr>
    </w:div>
    <w:div w:id="264853376">
      <w:marLeft w:val="0"/>
      <w:marRight w:val="0"/>
      <w:marTop w:val="0"/>
      <w:marBottom w:val="0"/>
      <w:divBdr>
        <w:top w:val="none" w:sz="0" w:space="0" w:color="auto"/>
        <w:left w:val="none" w:sz="0" w:space="0" w:color="auto"/>
        <w:bottom w:val="none" w:sz="0" w:space="0" w:color="auto"/>
        <w:right w:val="none" w:sz="0" w:space="0" w:color="auto"/>
      </w:divBdr>
    </w:div>
    <w:div w:id="264853377">
      <w:marLeft w:val="0"/>
      <w:marRight w:val="0"/>
      <w:marTop w:val="0"/>
      <w:marBottom w:val="0"/>
      <w:divBdr>
        <w:top w:val="none" w:sz="0" w:space="0" w:color="auto"/>
        <w:left w:val="none" w:sz="0" w:space="0" w:color="auto"/>
        <w:bottom w:val="none" w:sz="0" w:space="0" w:color="auto"/>
        <w:right w:val="none" w:sz="0" w:space="0" w:color="auto"/>
      </w:divBdr>
    </w:div>
    <w:div w:id="264853378">
      <w:marLeft w:val="0"/>
      <w:marRight w:val="0"/>
      <w:marTop w:val="0"/>
      <w:marBottom w:val="0"/>
      <w:divBdr>
        <w:top w:val="none" w:sz="0" w:space="0" w:color="auto"/>
        <w:left w:val="none" w:sz="0" w:space="0" w:color="auto"/>
        <w:bottom w:val="none" w:sz="0" w:space="0" w:color="auto"/>
        <w:right w:val="none" w:sz="0" w:space="0" w:color="auto"/>
      </w:divBdr>
    </w:div>
    <w:div w:id="264853379">
      <w:marLeft w:val="0"/>
      <w:marRight w:val="0"/>
      <w:marTop w:val="0"/>
      <w:marBottom w:val="0"/>
      <w:divBdr>
        <w:top w:val="none" w:sz="0" w:space="0" w:color="auto"/>
        <w:left w:val="none" w:sz="0" w:space="0" w:color="auto"/>
        <w:bottom w:val="none" w:sz="0" w:space="0" w:color="auto"/>
        <w:right w:val="none" w:sz="0" w:space="0" w:color="auto"/>
      </w:divBdr>
    </w:div>
    <w:div w:id="264853380">
      <w:marLeft w:val="0"/>
      <w:marRight w:val="0"/>
      <w:marTop w:val="0"/>
      <w:marBottom w:val="0"/>
      <w:divBdr>
        <w:top w:val="none" w:sz="0" w:space="0" w:color="auto"/>
        <w:left w:val="none" w:sz="0" w:space="0" w:color="auto"/>
        <w:bottom w:val="none" w:sz="0" w:space="0" w:color="auto"/>
        <w:right w:val="none" w:sz="0" w:space="0" w:color="auto"/>
      </w:divBdr>
    </w:div>
    <w:div w:id="264853381">
      <w:marLeft w:val="0"/>
      <w:marRight w:val="0"/>
      <w:marTop w:val="0"/>
      <w:marBottom w:val="0"/>
      <w:divBdr>
        <w:top w:val="none" w:sz="0" w:space="0" w:color="auto"/>
        <w:left w:val="none" w:sz="0" w:space="0" w:color="auto"/>
        <w:bottom w:val="none" w:sz="0" w:space="0" w:color="auto"/>
        <w:right w:val="none" w:sz="0" w:space="0" w:color="auto"/>
      </w:divBdr>
    </w:div>
    <w:div w:id="264853382">
      <w:marLeft w:val="0"/>
      <w:marRight w:val="0"/>
      <w:marTop w:val="0"/>
      <w:marBottom w:val="0"/>
      <w:divBdr>
        <w:top w:val="none" w:sz="0" w:space="0" w:color="auto"/>
        <w:left w:val="none" w:sz="0" w:space="0" w:color="auto"/>
        <w:bottom w:val="none" w:sz="0" w:space="0" w:color="auto"/>
        <w:right w:val="none" w:sz="0" w:space="0" w:color="auto"/>
      </w:divBdr>
    </w:div>
    <w:div w:id="264853383">
      <w:marLeft w:val="0"/>
      <w:marRight w:val="0"/>
      <w:marTop w:val="0"/>
      <w:marBottom w:val="0"/>
      <w:divBdr>
        <w:top w:val="none" w:sz="0" w:space="0" w:color="auto"/>
        <w:left w:val="none" w:sz="0" w:space="0" w:color="auto"/>
        <w:bottom w:val="none" w:sz="0" w:space="0" w:color="auto"/>
        <w:right w:val="none" w:sz="0" w:space="0" w:color="auto"/>
      </w:divBdr>
    </w:div>
    <w:div w:id="264853384">
      <w:marLeft w:val="0"/>
      <w:marRight w:val="0"/>
      <w:marTop w:val="0"/>
      <w:marBottom w:val="0"/>
      <w:divBdr>
        <w:top w:val="none" w:sz="0" w:space="0" w:color="auto"/>
        <w:left w:val="none" w:sz="0" w:space="0" w:color="auto"/>
        <w:bottom w:val="none" w:sz="0" w:space="0" w:color="auto"/>
        <w:right w:val="none" w:sz="0" w:space="0" w:color="auto"/>
      </w:divBdr>
    </w:div>
    <w:div w:id="264853385">
      <w:marLeft w:val="0"/>
      <w:marRight w:val="0"/>
      <w:marTop w:val="0"/>
      <w:marBottom w:val="0"/>
      <w:divBdr>
        <w:top w:val="none" w:sz="0" w:space="0" w:color="auto"/>
        <w:left w:val="none" w:sz="0" w:space="0" w:color="auto"/>
        <w:bottom w:val="none" w:sz="0" w:space="0" w:color="auto"/>
        <w:right w:val="none" w:sz="0" w:space="0" w:color="auto"/>
      </w:divBdr>
      <w:divsChild>
        <w:div w:id="264853407">
          <w:marLeft w:val="0"/>
          <w:marRight w:val="0"/>
          <w:marTop w:val="0"/>
          <w:marBottom w:val="0"/>
          <w:divBdr>
            <w:top w:val="none" w:sz="0" w:space="0" w:color="auto"/>
            <w:left w:val="none" w:sz="0" w:space="0" w:color="auto"/>
            <w:bottom w:val="none" w:sz="0" w:space="0" w:color="auto"/>
            <w:right w:val="none" w:sz="0" w:space="0" w:color="auto"/>
          </w:divBdr>
        </w:div>
      </w:divsChild>
    </w:div>
    <w:div w:id="264853386">
      <w:marLeft w:val="0"/>
      <w:marRight w:val="0"/>
      <w:marTop w:val="0"/>
      <w:marBottom w:val="0"/>
      <w:divBdr>
        <w:top w:val="none" w:sz="0" w:space="0" w:color="auto"/>
        <w:left w:val="none" w:sz="0" w:space="0" w:color="auto"/>
        <w:bottom w:val="none" w:sz="0" w:space="0" w:color="auto"/>
        <w:right w:val="none" w:sz="0" w:space="0" w:color="auto"/>
      </w:divBdr>
    </w:div>
    <w:div w:id="264853387">
      <w:marLeft w:val="0"/>
      <w:marRight w:val="0"/>
      <w:marTop w:val="0"/>
      <w:marBottom w:val="0"/>
      <w:divBdr>
        <w:top w:val="none" w:sz="0" w:space="0" w:color="auto"/>
        <w:left w:val="none" w:sz="0" w:space="0" w:color="auto"/>
        <w:bottom w:val="none" w:sz="0" w:space="0" w:color="auto"/>
        <w:right w:val="none" w:sz="0" w:space="0" w:color="auto"/>
      </w:divBdr>
    </w:div>
    <w:div w:id="264853388">
      <w:marLeft w:val="0"/>
      <w:marRight w:val="0"/>
      <w:marTop w:val="0"/>
      <w:marBottom w:val="0"/>
      <w:divBdr>
        <w:top w:val="none" w:sz="0" w:space="0" w:color="auto"/>
        <w:left w:val="none" w:sz="0" w:space="0" w:color="auto"/>
        <w:bottom w:val="none" w:sz="0" w:space="0" w:color="auto"/>
        <w:right w:val="none" w:sz="0" w:space="0" w:color="auto"/>
      </w:divBdr>
    </w:div>
    <w:div w:id="264853389">
      <w:marLeft w:val="0"/>
      <w:marRight w:val="0"/>
      <w:marTop w:val="0"/>
      <w:marBottom w:val="0"/>
      <w:divBdr>
        <w:top w:val="none" w:sz="0" w:space="0" w:color="auto"/>
        <w:left w:val="none" w:sz="0" w:space="0" w:color="auto"/>
        <w:bottom w:val="none" w:sz="0" w:space="0" w:color="auto"/>
        <w:right w:val="none" w:sz="0" w:space="0" w:color="auto"/>
      </w:divBdr>
    </w:div>
    <w:div w:id="264853390">
      <w:marLeft w:val="0"/>
      <w:marRight w:val="0"/>
      <w:marTop w:val="0"/>
      <w:marBottom w:val="0"/>
      <w:divBdr>
        <w:top w:val="none" w:sz="0" w:space="0" w:color="auto"/>
        <w:left w:val="none" w:sz="0" w:space="0" w:color="auto"/>
        <w:bottom w:val="none" w:sz="0" w:space="0" w:color="auto"/>
        <w:right w:val="none" w:sz="0" w:space="0" w:color="auto"/>
      </w:divBdr>
    </w:div>
    <w:div w:id="264853391">
      <w:marLeft w:val="0"/>
      <w:marRight w:val="0"/>
      <w:marTop w:val="0"/>
      <w:marBottom w:val="0"/>
      <w:divBdr>
        <w:top w:val="none" w:sz="0" w:space="0" w:color="auto"/>
        <w:left w:val="none" w:sz="0" w:space="0" w:color="auto"/>
        <w:bottom w:val="none" w:sz="0" w:space="0" w:color="auto"/>
        <w:right w:val="none" w:sz="0" w:space="0" w:color="auto"/>
      </w:divBdr>
    </w:div>
    <w:div w:id="264853392">
      <w:marLeft w:val="0"/>
      <w:marRight w:val="0"/>
      <w:marTop w:val="0"/>
      <w:marBottom w:val="0"/>
      <w:divBdr>
        <w:top w:val="none" w:sz="0" w:space="0" w:color="auto"/>
        <w:left w:val="none" w:sz="0" w:space="0" w:color="auto"/>
        <w:bottom w:val="none" w:sz="0" w:space="0" w:color="auto"/>
        <w:right w:val="none" w:sz="0" w:space="0" w:color="auto"/>
      </w:divBdr>
    </w:div>
    <w:div w:id="264853393">
      <w:marLeft w:val="0"/>
      <w:marRight w:val="0"/>
      <w:marTop w:val="0"/>
      <w:marBottom w:val="0"/>
      <w:divBdr>
        <w:top w:val="none" w:sz="0" w:space="0" w:color="auto"/>
        <w:left w:val="none" w:sz="0" w:space="0" w:color="auto"/>
        <w:bottom w:val="none" w:sz="0" w:space="0" w:color="auto"/>
        <w:right w:val="none" w:sz="0" w:space="0" w:color="auto"/>
      </w:divBdr>
    </w:div>
    <w:div w:id="264853394">
      <w:marLeft w:val="0"/>
      <w:marRight w:val="0"/>
      <w:marTop w:val="0"/>
      <w:marBottom w:val="0"/>
      <w:divBdr>
        <w:top w:val="none" w:sz="0" w:space="0" w:color="auto"/>
        <w:left w:val="none" w:sz="0" w:space="0" w:color="auto"/>
        <w:bottom w:val="none" w:sz="0" w:space="0" w:color="auto"/>
        <w:right w:val="none" w:sz="0" w:space="0" w:color="auto"/>
      </w:divBdr>
    </w:div>
    <w:div w:id="264853395">
      <w:marLeft w:val="0"/>
      <w:marRight w:val="0"/>
      <w:marTop w:val="0"/>
      <w:marBottom w:val="0"/>
      <w:divBdr>
        <w:top w:val="none" w:sz="0" w:space="0" w:color="auto"/>
        <w:left w:val="none" w:sz="0" w:space="0" w:color="auto"/>
        <w:bottom w:val="none" w:sz="0" w:space="0" w:color="auto"/>
        <w:right w:val="none" w:sz="0" w:space="0" w:color="auto"/>
      </w:divBdr>
    </w:div>
    <w:div w:id="264853396">
      <w:marLeft w:val="0"/>
      <w:marRight w:val="0"/>
      <w:marTop w:val="0"/>
      <w:marBottom w:val="0"/>
      <w:divBdr>
        <w:top w:val="none" w:sz="0" w:space="0" w:color="auto"/>
        <w:left w:val="none" w:sz="0" w:space="0" w:color="auto"/>
        <w:bottom w:val="none" w:sz="0" w:space="0" w:color="auto"/>
        <w:right w:val="none" w:sz="0" w:space="0" w:color="auto"/>
      </w:divBdr>
    </w:div>
    <w:div w:id="264853397">
      <w:marLeft w:val="0"/>
      <w:marRight w:val="0"/>
      <w:marTop w:val="0"/>
      <w:marBottom w:val="0"/>
      <w:divBdr>
        <w:top w:val="none" w:sz="0" w:space="0" w:color="auto"/>
        <w:left w:val="none" w:sz="0" w:space="0" w:color="auto"/>
        <w:bottom w:val="none" w:sz="0" w:space="0" w:color="auto"/>
        <w:right w:val="none" w:sz="0" w:space="0" w:color="auto"/>
      </w:divBdr>
    </w:div>
    <w:div w:id="264853398">
      <w:marLeft w:val="0"/>
      <w:marRight w:val="0"/>
      <w:marTop w:val="0"/>
      <w:marBottom w:val="0"/>
      <w:divBdr>
        <w:top w:val="none" w:sz="0" w:space="0" w:color="auto"/>
        <w:left w:val="none" w:sz="0" w:space="0" w:color="auto"/>
        <w:bottom w:val="none" w:sz="0" w:space="0" w:color="auto"/>
        <w:right w:val="none" w:sz="0" w:space="0" w:color="auto"/>
      </w:divBdr>
    </w:div>
    <w:div w:id="264853399">
      <w:marLeft w:val="0"/>
      <w:marRight w:val="0"/>
      <w:marTop w:val="0"/>
      <w:marBottom w:val="0"/>
      <w:divBdr>
        <w:top w:val="none" w:sz="0" w:space="0" w:color="auto"/>
        <w:left w:val="none" w:sz="0" w:space="0" w:color="auto"/>
        <w:bottom w:val="none" w:sz="0" w:space="0" w:color="auto"/>
        <w:right w:val="none" w:sz="0" w:space="0" w:color="auto"/>
      </w:divBdr>
    </w:div>
    <w:div w:id="264853400">
      <w:marLeft w:val="0"/>
      <w:marRight w:val="0"/>
      <w:marTop w:val="0"/>
      <w:marBottom w:val="0"/>
      <w:divBdr>
        <w:top w:val="none" w:sz="0" w:space="0" w:color="auto"/>
        <w:left w:val="none" w:sz="0" w:space="0" w:color="auto"/>
        <w:bottom w:val="none" w:sz="0" w:space="0" w:color="auto"/>
        <w:right w:val="none" w:sz="0" w:space="0" w:color="auto"/>
      </w:divBdr>
    </w:div>
    <w:div w:id="264853401">
      <w:marLeft w:val="0"/>
      <w:marRight w:val="0"/>
      <w:marTop w:val="0"/>
      <w:marBottom w:val="0"/>
      <w:divBdr>
        <w:top w:val="none" w:sz="0" w:space="0" w:color="auto"/>
        <w:left w:val="none" w:sz="0" w:space="0" w:color="auto"/>
        <w:bottom w:val="none" w:sz="0" w:space="0" w:color="auto"/>
        <w:right w:val="none" w:sz="0" w:space="0" w:color="auto"/>
      </w:divBdr>
    </w:div>
    <w:div w:id="264853402">
      <w:marLeft w:val="0"/>
      <w:marRight w:val="0"/>
      <w:marTop w:val="0"/>
      <w:marBottom w:val="0"/>
      <w:divBdr>
        <w:top w:val="none" w:sz="0" w:space="0" w:color="auto"/>
        <w:left w:val="none" w:sz="0" w:space="0" w:color="auto"/>
        <w:bottom w:val="none" w:sz="0" w:space="0" w:color="auto"/>
        <w:right w:val="none" w:sz="0" w:space="0" w:color="auto"/>
      </w:divBdr>
    </w:div>
    <w:div w:id="264853403">
      <w:marLeft w:val="0"/>
      <w:marRight w:val="0"/>
      <w:marTop w:val="0"/>
      <w:marBottom w:val="0"/>
      <w:divBdr>
        <w:top w:val="none" w:sz="0" w:space="0" w:color="auto"/>
        <w:left w:val="none" w:sz="0" w:space="0" w:color="auto"/>
        <w:bottom w:val="none" w:sz="0" w:space="0" w:color="auto"/>
        <w:right w:val="none" w:sz="0" w:space="0" w:color="auto"/>
      </w:divBdr>
    </w:div>
    <w:div w:id="264853404">
      <w:marLeft w:val="0"/>
      <w:marRight w:val="0"/>
      <w:marTop w:val="0"/>
      <w:marBottom w:val="0"/>
      <w:divBdr>
        <w:top w:val="none" w:sz="0" w:space="0" w:color="auto"/>
        <w:left w:val="none" w:sz="0" w:space="0" w:color="auto"/>
        <w:bottom w:val="none" w:sz="0" w:space="0" w:color="auto"/>
        <w:right w:val="none" w:sz="0" w:space="0" w:color="auto"/>
      </w:divBdr>
    </w:div>
    <w:div w:id="264853405">
      <w:marLeft w:val="0"/>
      <w:marRight w:val="0"/>
      <w:marTop w:val="0"/>
      <w:marBottom w:val="0"/>
      <w:divBdr>
        <w:top w:val="none" w:sz="0" w:space="0" w:color="auto"/>
        <w:left w:val="none" w:sz="0" w:space="0" w:color="auto"/>
        <w:bottom w:val="none" w:sz="0" w:space="0" w:color="auto"/>
        <w:right w:val="none" w:sz="0" w:space="0" w:color="auto"/>
      </w:divBdr>
    </w:div>
    <w:div w:id="264853406">
      <w:marLeft w:val="0"/>
      <w:marRight w:val="0"/>
      <w:marTop w:val="0"/>
      <w:marBottom w:val="0"/>
      <w:divBdr>
        <w:top w:val="none" w:sz="0" w:space="0" w:color="auto"/>
        <w:left w:val="none" w:sz="0" w:space="0" w:color="auto"/>
        <w:bottom w:val="none" w:sz="0" w:space="0" w:color="auto"/>
        <w:right w:val="none" w:sz="0" w:space="0" w:color="auto"/>
      </w:divBdr>
    </w:div>
    <w:div w:id="264853408">
      <w:marLeft w:val="0"/>
      <w:marRight w:val="0"/>
      <w:marTop w:val="0"/>
      <w:marBottom w:val="0"/>
      <w:divBdr>
        <w:top w:val="none" w:sz="0" w:space="0" w:color="auto"/>
        <w:left w:val="none" w:sz="0" w:space="0" w:color="auto"/>
        <w:bottom w:val="none" w:sz="0" w:space="0" w:color="auto"/>
        <w:right w:val="none" w:sz="0" w:space="0" w:color="auto"/>
      </w:divBdr>
    </w:div>
    <w:div w:id="264853409">
      <w:marLeft w:val="0"/>
      <w:marRight w:val="0"/>
      <w:marTop w:val="0"/>
      <w:marBottom w:val="0"/>
      <w:divBdr>
        <w:top w:val="none" w:sz="0" w:space="0" w:color="auto"/>
        <w:left w:val="none" w:sz="0" w:space="0" w:color="auto"/>
        <w:bottom w:val="none" w:sz="0" w:space="0" w:color="auto"/>
        <w:right w:val="none" w:sz="0" w:space="0" w:color="auto"/>
      </w:divBdr>
    </w:div>
    <w:div w:id="264853410">
      <w:marLeft w:val="0"/>
      <w:marRight w:val="0"/>
      <w:marTop w:val="0"/>
      <w:marBottom w:val="0"/>
      <w:divBdr>
        <w:top w:val="none" w:sz="0" w:space="0" w:color="auto"/>
        <w:left w:val="none" w:sz="0" w:space="0" w:color="auto"/>
        <w:bottom w:val="none" w:sz="0" w:space="0" w:color="auto"/>
        <w:right w:val="none" w:sz="0" w:space="0" w:color="auto"/>
      </w:divBdr>
    </w:div>
    <w:div w:id="264853411">
      <w:marLeft w:val="0"/>
      <w:marRight w:val="0"/>
      <w:marTop w:val="0"/>
      <w:marBottom w:val="0"/>
      <w:divBdr>
        <w:top w:val="none" w:sz="0" w:space="0" w:color="auto"/>
        <w:left w:val="none" w:sz="0" w:space="0" w:color="auto"/>
        <w:bottom w:val="none" w:sz="0" w:space="0" w:color="auto"/>
        <w:right w:val="none" w:sz="0" w:space="0" w:color="auto"/>
      </w:divBdr>
    </w:div>
    <w:div w:id="264853412">
      <w:marLeft w:val="0"/>
      <w:marRight w:val="0"/>
      <w:marTop w:val="0"/>
      <w:marBottom w:val="0"/>
      <w:divBdr>
        <w:top w:val="none" w:sz="0" w:space="0" w:color="auto"/>
        <w:left w:val="none" w:sz="0" w:space="0" w:color="auto"/>
        <w:bottom w:val="none" w:sz="0" w:space="0" w:color="auto"/>
        <w:right w:val="none" w:sz="0" w:space="0" w:color="auto"/>
      </w:divBdr>
    </w:div>
    <w:div w:id="264853413">
      <w:marLeft w:val="0"/>
      <w:marRight w:val="0"/>
      <w:marTop w:val="0"/>
      <w:marBottom w:val="0"/>
      <w:divBdr>
        <w:top w:val="none" w:sz="0" w:space="0" w:color="auto"/>
        <w:left w:val="none" w:sz="0" w:space="0" w:color="auto"/>
        <w:bottom w:val="none" w:sz="0" w:space="0" w:color="auto"/>
        <w:right w:val="none" w:sz="0" w:space="0" w:color="auto"/>
      </w:divBdr>
    </w:div>
    <w:div w:id="264853414">
      <w:marLeft w:val="0"/>
      <w:marRight w:val="0"/>
      <w:marTop w:val="0"/>
      <w:marBottom w:val="0"/>
      <w:divBdr>
        <w:top w:val="none" w:sz="0" w:space="0" w:color="auto"/>
        <w:left w:val="none" w:sz="0" w:space="0" w:color="auto"/>
        <w:bottom w:val="none" w:sz="0" w:space="0" w:color="auto"/>
        <w:right w:val="none" w:sz="0" w:space="0" w:color="auto"/>
      </w:divBdr>
    </w:div>
    <w:div w:id="264853415">
      <w:marLeft w:val="0"/>
      <w:marRight w:val="0"/>
      <w:marTop w:val="0"/>
      <w:marBottom w:val="0"/>
      <w:divBdr>
        <w:top w:val="none" w:sz="0" w:space="0" w:color="auto"/>
        <w:left w:val="none" w:sz="0" w:space="0" w:color="auto"/>
        <w:bottom w:val="none" w:sz="0" w:space="0" w:color="auto"/>
        <w:right w:val="none" w:sz="0" w:space="0" w:color="auto"/>
      </w:divBdr>
    </w:div>
    <w:div w:id="264853416">
      <w:marLeft w:val="0"/>
      <w:marRight w:val="0"/>
      <w:marTop w:val="0"/>
      <w:marBottom w:val="0"/>
      <w:divBdr>
        <w:top w:val="none" w:sz="0" w:space="0" w:color="auto"/>
        <w:left w:val="none" w:sz="0" w:space="0" w:color="auto"/>
        <w:bottom w:val="none" w:sz="0" w:space="0" w:color="auto"/>
        <w:right w:val="none" w:sz="0" w:space="0" w:color="auto"/>
      </w:divBdr>
    </w:div>
    <w:div w:id="264853417">
      <w:marLeft w:val="0"/>
      <w:marRight w:val="0"/>
      <w:marTop w:val="0"/>
      <w:marBottom w:val="0"/>
      <w:divBdr>
        <w:top w:val="none" w:sz="0" w:space="0" w:color="auto"/>
        <w:left w:val="none" w:sz="0" w:space="0" w:color="auto"/>
        <w:bottom w:val="none" w:sz="0" w:space="0" w:color="auto"/>
        <w:right w:val="none" w:sz="0" w:space="0" w:color="auto"/>
      </w:divBdr>
    </w:div>
    <w:div w:id="264853418">
      <w:marLeft w:val="0"/>
      <w:marRight w:val="0"/>
      <w:marTop w:val="0"/>
      <w:marBottom w:val="0"/>
      <w:divBdr>
        <w:top w:val="none" w:sz="0" w:space="0" w:color="auto"/>
        <w:left w:val="none" w:sz="0" w:space="0" w:color="auto"/>
        <w:bottom w:val="none" w:sz="0" w:space="0" w:color="auto"/>
        <w:right w:val="none" w:sz="0" w:space="0" w:color="auto"/>
      </w:divBdr>
    </w:div>
    <w:div w:id="264853419">
      <w:marLeft w:val="0"/>
      <w:marRight w:val="0"/>
      <w:marTop w:val="0"/>
      <w:marBottom w:val="0"/>
      <w:divBdr>
        <w:top w:val="none" w:sz="0" w:space="0" w:color="auto"/>
        <w:left w:val="none" w:sz="0" w:space="0" w:color="auto"/>
        <w:bottom w:val="none" w:sz="0" w:space="0" w:color="auto"/>
        <w:right w:val="none" w:sz="0" w:space="0" w:color="auto"/>
      </w:divBdr>
    </w:div>
    <w:div w:id="264853420">
      <w:marLeft w:val="0"/>
      <w:marRight w:val="0"/>
      <w:marTop w:val="0"/>
      <w:marBottom w:val="0"/>
      <w:divBdr>
        <w:top w:val="none" w:sz="0" w:space="0" w:color="auto"/>
        <w:left w:val="none" w:sz="0" w:space="0" w:color="auto"/>
        <w:bottom w:val="none" w:sz="0" w:space="0" w:color="auto"/>
        <w:right w:val="none" w:sz="0" w:space="0" w:color="auto"/>
      </w:divBdr>
    </w:div>
    <w:div w:id="264853421">
      <w:marLeft w:val="0"/>
      <w:marRight w:val="0"/>
      <w:marTop w:val="0"/>
      <w:marBottom w:val="0"/>
      <w:divBdr>
        <w:top w:val="none" w:sz="0" w:space="0" w:color="auto"/>
        <w:left w:val="none" w:sz="0" w:space="0" w:color="auto"/>
        <w:bottom w:val="none" w:sz="0" w:space="0" w:color="auto"/>
        <w:right w:val="none" w:sz="0" w:space="0" w:color="auto"/>
      </w:divBdr>
    </w:div>
    <w:div w:id="264853422">
      <w:marLeft w:val="0"/>
      <w:marRight w:val="0"/>
      <w:marTop w:val="0"/>
      <w:marBottom w:val="0"/>
      <w:divBdr>
        <w:top w:val="none" w:sz="0" w:space="0" w:color="auto"/>
        <w:left w:val="none" w:sz="0" w:space="0" w:color="auto"/>
        <w:bottom w:val="none" w:sz="0" w:space="0" w:color="auto"/>
        <w:right w:val="none" w:sz="0" w:space="0" w:color="auto"/>
      </w:divBdr>
    </w:div>
    <w:div w:id="264853423">
      <w:marLeft w:val="0"/>
      <w:marRight w:val="0"/>
      <w:marTop w:val="0"/>
      <w:marBottom w:val="0"/>
      <w:divBdr>
        <w:top w:val="none" w:sz="0" w:space="0" w:color="auto"/>
        <w:left w:val="none" w:sz="0" w:space="0" w:color="auto"/>
        <w:bottom w:val="none" w:sz="0" w:space="0" w:color="auto"/>
        <w:right w:val="none" w:sz="0" w:space="0" w:color="auto"/>
      </w:divBdr>
    </w:div>
    <w:div w:id="264853424">
      <w:marLeft w:val="0"/>
      <w:marRight w:val="0"/>
      <w:marTop w:val="0"/>
      <w:marBottom w:val="0"/>
      <w:divBdr>
        <w:top w:val="none" w:sz="0" w:space="0" w:color="auto"/>
        <w:left w:val="none" w:sz="0" w:space="0" w:color="auto"/>
        <w:bottom w:val="none" w:sz="0" w:space="0" w:color="auto"/>
        <w:right w:val="none" w:sz="0" w:space="0" w:color="auto"/>
      </w:divBdr>
    </w:div>
    <w:div w:id="264853425">
      <w:marLeft w:val="0"/>
      <w:marRight w:val="0"/>
      <w:marTop w:val="0"/>
      <w:marBottom w:val="0"/>
      <w:divBdr>
        <w:top w:val="none" w:sz="0" w:space="0" w:color="auto"/>
        <w:left w:val="none" w:sz="0" w:space="0" w:color="auto"/>
        <w:bottom w:val="none" w:sz="0" w:space="0" w:color="auto"/>
        <w:right w:val="none" w:sz="0" w:space="0" w:color="auto"/>
      </w:divBdr>
    </w:div>
    <w:div w:id="264853426">
      <w:marLeft w:val="0"/>
      <w:marRight w:val="0"/>
      <w:marTop w:val="0"/>
      <w:marBottom w:val="0"/>
      <w:divBdr>
        <w:top w:val="none" w:sz="0" w:space="0" w:color="auto"/>
        <w:left w:val="none" w:sz="0" w:space="0" w:color="auto"/>
        <w:bottom w:val="none" w:sz="0" w:space="0" w:color="auto"/>
        <w:right w:val="none" w:sz="0" w:space="0" w:color="auto"/>
      </w:divBdr>
    </w:div>
    <w:div w:id="264853427">
      <w:marLeft w:val="0"/>
      <w:marRight w:val="0"/>
      <w:marTop w:val="0"/>
      <w:marBottom w:val="0"/>
      <w:divBdr>
        <w:top w:val="none" w:sz="0" w:space="0" w:color="auto"/>
        <w:left w:val="none" w:sz="0" w:space="0" w:color="auto"/>
        <w:bottom w:val="none" w:sz="0" w:space="0" w:color="auto"/>
        <w:right w:val="none" w:sz="0" w:space="0" w:color="auto"/>
      </w:divBdr>
    </w:div>
    <w:div w:id="264853428">
      <w:marLeft w:val="0"/>
      <w:marRight w:val="0"/>
      <w:marTop w:val="0"/>
      <w:marBottom w:val="0"/>
      <w:divBdr>
        <w:top w:val="none" w:sz="0" w:space="0" w:color="auto"/>
        <w:left w:val="none" w:sz="0" w:space="0" w:color="auto"/>
        <w:bottom w:val="none" w:sz="0" w:space="0" w:color="auto"/>
        <w:right w:val="none" w:sz="0" w:space="0" w:color="auto"/>
      </w:divBdr>
    </w:div>
    <w:div w:id="264853429">
      <w:marLeft w:val="0"/>
      <w:marRight w:val="0"/>
      <w:marTop w:val="0"/>
      <w:marBottom w:val="0"/>
      <w:divBdr>
        <w:top w:val="none" w:sz="0" w:space="0" w:color="auto"/>
        <w:left w:val="none" w:sz="0" w:space="0" w:color="auto"/>
        <w:bottom w:val="none" w:sz="0" w:space="0" w:color="auto"/>
        <w:right w:val="none" w:sz="0" w:space="0" w:color="auto"/>
      </w:divBdr>
    </w:div>
    <w:div w:id="264853430">
      <w:marLeft w:val="0"/>
      <w:marRight w:val="0"/>
      <w:marTop w:val="0"/>
      <w:marBottom w:val="0"/>
      <w:divBdr>
        <w:top w:val="none" w:sz="0" w:space="0" w:color="auto"/>
        <w:left w:val="none" w:sz="0" w:space="0" w:color="auto"/>
        <w:bottom w:val="none" w:sz="0" w:space="0" w:color="auto"/>
        <w:right w:val="none" w:sz="0" w:space="0" w:color="auto"/>
      </w:divBdr>
    </w:div>
    <w:div w:id="264853431">
      <w:marLeft w:val="0"/>
      <w:marRight w:val="0"/>
      <w:marTop w:val="0"/>
      <w:marBottom w:val="0"/>
      <w:divBdr>
        <w:top w:val="none" w:sz="0" w:space="0" w:color="auto"/>
        <w:left w:val="none" w:sz="0" w:space="0" w:color="auto"/>
        <w:bottom w:val="none" w:sz="0" w:space="0" w:color="auto"/>
        <w:right w:val="none" w:sz="0" w:space="0" w:color="auto"/>
      </w:divBdr>
    </w:div>
    <w:div w:id="264853432">
      <w:marLeft w:val="0"/>
      <w:marRight w:val="0"/>
      <w:marTop w:val="0"/>
      <w:marBottom w:val="0"/>
      <w:divBdr>
        <w:top w:val="none" w:sz="0" w:space="0" w:color="auto"/>
        <w:left w:val="none" w:sz="0" w:space="0" w:color="auto"/>
        <w:bottom w:val="none" w:sz="0" w:space="0" w:color="auto"/>
        <w:right w:val="none" w:sz="0" w:space="0" w:color="auto"/>
      </w:divBdr>
    </w:div>
    <w:div w:id="264853433">
      <w:marLeft w:val="0"/>
      <w:marRight w:val="0"/>
      <w:marTop w:val="0"/>
      <w:marBottom w:val="0"/>
      <w:divBdr>
        <w:top w:val="none" w:sz="0" w:space="0" w:color="auto"/>
        <w:left w:val="none" w:sz="0" w:space="0" w:color="auto"/>
        <w:bottom w:val="none" w:sz="0" w:space="0" w:color="auto"/>
        <w:right w:val="none" w:sz="0" w:space="0" w:color="auto"/>
      </w:divBdr>
    </w:div>
    <w:div w:id="264853434">
      <w:marLeft w:val="0"/>
      <w:marRight w:val="0"/>
      <w:marTop w:val="0"/>
      <w:marBottom w:val="0"/>
      <w:divBdr>
        <w:top w:val="none" w:sz="0" w:space="0" w:color="auto"/>
        <w:left w:val="none" w:sz="0" w:space="0" w:color="auto"/>
        <w:bottom w:val="none" w:sz="0" w:space="0" w:color="auto"/>
        <w:right w:val="none" w:sz="0" w:space="0" w:color="auto"/>
      </w:divBdr>
    </w:div>
    <w:div w:id="264853435">
      <w:marLeft w:val="0"/>
      <w:marRight w:val="0"/>
      <w:marTop w:val="0"/>
      <w:marBottom w:val="0"/>
      <w:divBdr>
        <w:top w:val="none" w:sz="0" w:space="0" w:color="auto"/>
        <w:left w:val="none" w:sz="0" w:space="0" w:color="auto"/>
        <w:bottom w:val="none" w:sz="0" w:space="0" w:color="auto"/>
        <w:right w:val="none" w:sz="0" w:space="0" w:color="auto"/>
      </w:divBdr>
    </w:div>
    <w:div w:id="264853436">
      <w:marLeft w:val="0"/>
      <w:marRight w:val="0"/>
      <w:marTop w:val="0"/>
      <w:marBottom w:val="0"/>
      <w:divBdr>
        <w:top w:val="none" w:sz="0" w:space="0" w:color="auto"/>
        <w:left w:val="none" w:sz="0" w:space="0" w:color="auto"/>
        <w:bottom w:val="none" w:sz="0" w:space="0" w:color="auto"/>
        <w:right w:val="none" w:sz="0" w:space="0" w:color="auto"/>
      </w:divBdr>
    </w:div>
    <w:div w:id="264853437">
      <w:marLeft w:val="0"/>
      <w:marRight w:val="0"/>
      <w:marTop w:val="0"/>
      <w:marBottom w:val="0"/>
      <w:divBdr>
        <w:top w:val="none" w:sz="0" w:space="0" w:color="auto"/>
        <w:left w:val="none" w:sz="0" w:space="0" w:color="auto"/>
        <w:bottom w:val="none" w:sz="0" w:space="0" w:color="auto"/>
        <w:right w:val="none" w:sz="0" w:space="0" w:color="auto"/>
      </w:divBdr>
    </w:div>
    <w:div w:id="264853438">
      <w:marLeft w:val="0"/>
      <w:marRight w:val="0"/>
      <w:marTop w:val="0"/>
      <w:marBottom w:val="0"/>
      <w:divBdr>
        <w:top w:val="none" w:sz="0" w:space="0" w:color="auto"/>
        <w:left w:val="none" w:sz="0" w:space="0" w:color="auto"/>
        <w:bottom w:val="none" w:sz="0" w:space="0" w:color="auto"/>
        <w:right w:val="none" w:sz="0" w:space="0" w:color="auto"/>
      </w:divBdr>
    </w:div>
    <w:div w:id="264853439">
      <w:marLeft w:val="0"/>
      <w:marRight w:val="0"/>
      <w:marTop w:val="0"/>
      <w:marBottom w:val="0"/>
      <w:divBdr>
        <w:top w:val="none" w:sz="0" w:space="0" w:color="auto"/>
        <w:left w:val="none" w:sz="0" w:space="0" w:color="auto"/>
        <w:bottom w:val="none" w:sz="0" w:space="0" w:color="auto"/>
        <w:right w:val="none" w:sz="0" w:space="0" w:color="auto"/>
      </w:divBdr>
    </w:div>
    <w:div w:id="264853440">
      <w:marLeft w:val="0"/>
      <w:marRight w:val="0"/>
      <w:marTop w:val="0"/>
      <w:marBottom w:val="0"/>
      <w:divBdr>
        <w:top w:val="none" w:sz="0" w:space="0" w:color="auto"/>
        <w:left w:val="none" w:sz="0" w:space="0" w:color="auto"/>
        <w:bottom w:val="none" w:sz="0" w:space="0" w:color="auto"/>
        <w:right w:val="none" w:sz="0" w:space="0" w:color="auto"/>
      </w:divBdr>
    </w:div>
    <w:div w:id="264853441">
      <w:marLeft w:val="0"/>
      <w:marRight w:val="0"/>
      <w:marTop w:val="0"/>
      <w:marBottom w:val="0"/>
      <w:divBdr>
        <w:top w:val="none" w:sz="0" w:space="0" w:color="auto"/>
        <w:left w:val="none" w:sz="0" w:space="0" w:color="auto"/>
        <w:bottom w:val="none" w:sz="0" w:space="0" w:color="auto"/>
        <w:right w:val="none" w:sz="0" w:space="0" w:color="auto"/>
      </w:divBdr>
    </w:div>
    <w:div w:id="264853442">
      <w:marLeft w:val="0"/>
      <w:marRight w:val="0"/>
      <w:marTop w:val="0"/>
      <w:marBottom w:val="0"/>
      <w:divBdr>
        <w:top w:val="none" w:sz="0" w:space="0" w:color="auto"/>
        <w:left w:val="none" w:sz="0" w:space="0" w:color="auto"/>
        <w:bottom w:val="none" w:sz="0" w:space="0" w:color="auto"/>
        <w:right w:val="none" w:sz="0" w:space="0" w:color="auto"/>
      </w:divBdr>
    </w:div>
    <w:div w:id="264853443">
      <w:marLeft w:val="0"/>
      <w:marRight w:val="0"/>
      <w:marTop w:val="0"/>
      <w:marBottom w:val="0"/>
      <w:divBdr>
        <w:top w:val="none" w:sz="0" w:space="0" w:color="auto"/>
        <w:left w:val="none" w:sz="0" w:space="0" w:color="auto"/>
        <w:bottom w:val="none" w:sz="0" w:space="0" w:color="auto"/>
        <w:right w:val="none" w:sz="0" w:space="0" w:color="auto"/>
      </w:divBdr>
    </w:div>
    <w:div w:id="264853444">
      <w:marLeft w:val="0"/>
      <w:marRight w:val="0"/>
      <w:marTop w:val="0"/>
      <w:marBottom w:val="0"/>
      <w:divBdr>
        <w:top w:val="none" w:sz="0" w:space="0" w:color="auto"/>
        <w:left w:val="none" w:sz="0" w:space="0" w:color="auto"/>
        <w:bottom w:val="none" w:sz="0" w:space="0" w:color="auto"/>
        <w:right w:val="none" w:sz="0" w:space="0" w:color="auto"/>
      </w:divBdr>
    </w:div>
    <w:div w:id="264853446">
      <w:marLeft w:val="0"/>
      <w:marRight w:val="0"/>
      <w:marTop w:val="0"/>
      <w:marBottom w:val="0"/>
      <w:divBdr>
        <w:top w:val="none" w:sz="0" w:space="0" w:color="auto"/>
        <w:left w:val="none" w:sz="0" w:space="0" w:color="auto"/>
        <w:bottom w:val="none" w:sz="0" w:space="0" w:color="auto"/>
        <w:right w:val="none" w:sz="0" w:space="0" w:color="auto"/>
      </w:divBdr>
    </w:div>
    <w:div w:id="264853447">
      <w:marLeft w:val="0"/>
      <w:marRight w:val="0"/>
      <w:marTop w:val="0"/>
      <w:marBottom w:val="0"/>
      <w:divBdr>
        <w:top w:val="none" w:sz="0" w:space="0" w:color="auto"/>
        <w:left w:val="none" w:sz="0" w:space="0" w:color="auto"/>
        <w:bottom w:val="none" w:sz="0" w:space="0" w:color="auto"/>
        <w:right w:val="none" w:sz="0" w:space="0" w:color="auto"/>
      </w:divBdr>
    </w:div>
    <w:div w:id="264853448">
      <w:marLeft w:val="0"/>
      <w:marRight w:val="0"/>
      <w:marTop w:val="0"/>
      <w:marBottom w:val="0"/>
      <w:divBdr>
        <w:top w:val="none" w:sz="0" w:space="0" w:color="auto"/>
        <w:left w:val="none" w:sz="0" w:space="0" w:color="auto"/>
        <w:bottom w:val="none" w:sz="0" w:space="0" w:color="auto"/>
        <w:right w:val="none" w:sz="0" w:space="0" w:color="auto"/>
      </w:divBdr>
    </w:div>
    <w:div w:id="264853449">
      <w:marLeft w:val="0"/>
      <w:marRight w:val="0"/>
      <w:marTop w:val="0"/>
      <w:marBottom w:val="0"/>
      <w:divBdr>
        <w:top w:val="none" w:sz="0" w:space="0" w:color="auto"/>
        <w:left w:val="none" w:sz="0" w:space="0" w:color="auto"/>
        <w:bottom w:val="none" w:sz="0" w:space="0" w:color="auto"/>
        <w:right w:val="none" w:sz="0" w:space="0" w:color="auto"/>
      </w:divBdr>
    </w:div>
    <w:div w:id="264853450">
      <w:marLeft w:val="0"/>
      <w:marRight w:val="0"/>
      <w:marTop w:val="0"/>
      <w:marBottom w:val="0"/>
      <w:divBdr>
        <w:top w:val="none" w:sz="0" w:space="0" w:color="auto"/>
        <w:left w:val="none" w:sz="0" w:space="0" w:color="auto"/>
        <w:bottom w:val="none" w:sz="0" w:space="0" w:color="auto"/>
        <w:right w:val="none" w:sz="0" w:space="0" w:color="auto"/>
      </w:divBdr>
    </w:div>
    <w:div w:id="264853451">
      <w:marLeft w:val="0"/>
      <w:marRight w:val="0"/>
      <w:marTop w:val="0"/>
      <w:marBottom w:val="0"/>
      <w:divBdr>
        <w:top w:val="none" w:sz="0" w:space="0" w:color="auto"/>
        <w:left w:val="none" w:sz="0" w:space="0" w:color="auto"/>
        <w:bottom w:val="none" w:sz="0" w:space="0" w:color="auto"/>
        <w:right w:val="none" w:sz="0" w:space="0" w:color="auto"/>
      </w:divBdr>
      <w:divsChild>
        <w:div w:id="264853445">
          <w:marLeft w:val="0"/>
          <w:marRight w:val="0"/>
          <w:marTop w:val="0"/>
          <w:marBottom w:val="0"/>
          <w:divBdr>
            <w:top w:val="none" w:sz="0" w:space="0" w:color="auto"/>
            <w:left w:val="none" w:sz="0" w:space="0" w:color="auto"/>
            <w:bottom w:val="none" w:sz="0" w:space="0" w:color="auto"/>
            <w:right w:val="none" w:sz="0" w:space="0" w:color="auto"/>
          </w:divBdr>
        </w:div>
      </w:divsChild>
    </w:div>
    <w:div w:id="264853452">
      <w:marLeft w:val="0"/>
      <w:marRight w:val="0"/>
      <w:marTop w:val="0"/>
      <w:marBottom w:val="0"/>
      <w:divBdr>
        <w:top w:val="none" w:sz="0" w:space="0" w:color="auto"/>
        <w:left w:val="none" w:sz="0" w:space="0" w:color="auto"/>
        <w:bottom w:val="none" w:sz="0" w:space="0" w:color="auto"/>
        <w:right w:val="none" w:sz="0" w:space="0" w:color="auto"/>
      </w:divBdr>
    </w:div>
    <w:div w:id="264853453">
      <w:marLeft w:val="0"/>
      <w:marRight w:val="0"/>
      <w:marTop w:val="0"/>
      <w:marBottom w:val="0"/>
      <w:divBdr>
        <w:top w:val="none" w:sz="0" w:space="0" w:color="auto"/>
        <w:left w:val="none" w:sz="0" w:space="0" w:color="auto"/>
        <w:bottom w:val="none" w:sz="0" w:space="0" w:color="auto"/>
        <w:right w:val="none" w:sz="0" w:space="0" w:color="auto"/>
      </w:divBdr>
    </w:div>
    <w:div w:id="264853454">
      <w:marLeft w:val="0"/>
      <w:marRight w:val="0"/>
      <w:marTop w:val="0"/>
      <w:marBottom w:val="0"/>
      <w:divBdr>
        <w:top w:val="none" w:sz="0" w:space="0" w:color="auto"/>
        <w:left w:val="none" w:sz="0" w:space="0" w:color="auto"/>
        <w:bottom w:val="none" w:sz="0" w:space="0" w:color="auto"/>
        <w:right w:val="none" w:sz="0" w:space="0" w:color="auto"/>
      </w:divBdr>
    </w:div>
    <w:div w:id="264853455">
      <w:marLeft w:val="0"/>
      <w:marRight w:val="0"/>
      <w:marTop w:val="0"/>
      <w:marBottom w:val="0"/>
      <w:divBdr>
        <w:top w:val="none" w:sz="0" w:space="0" w:color="auto"/>
        <w:left w:val="none" w:sz="0" w:space="0" w:color="auto"/>
        <w:bottom w:val="none" w:sz="0" w:space="0" w:color="auto"/>
        <w:right w:val="none" w:sz="0" w:space="0" w:color="auto"/>
      </w:divBdr>
    </w:div>
    <w:div w:id="264853456">
      <w:marLeft w:val="0"/>
      <w:marRight w:val="0"/>
      <w:marTop w:val="0"/>
      <w:marBottom w:val="0"/>
      <w:divBdr>
        <w:top w:val="none" w:sz="0" w:space="0" w:color="auto"/>
        <w:left w:val="none" w:sz="0" w:space="0" w:color="auto"/>
        <w:bottom w:val="none" w:sz="0" w:space="0" w:color="auto"/>
        <w:right w:val="none" w:sz="0" w:space="0" w:color="auto"/>
      </w:divBdr>
    </w:div>
    <w:div w:id="264853457">
      <w:marLeft w:val="0"/>
      <w:marRight w:val="0"/>
      <w:marTop w:val="0"/>
      <w:marBottom w:val="0"/>
      <w:divBdr>
        <w:top w:val="none" w:sz="0" w:space="0" w:color="auto"/>
        <w:left w:val="none" w:sz="0" w:space="0" w:color="auto"/>
        <w:bottom w:val="none" w:sz="0" w:space="0" w:color="auto"/>
        <w:right w:val="none" w:sz="0" w:space="0" w:color="auto"/>
      </w:divBdr>
    </w:div>
    <w:div w:id="264853458">
      <w:marLeft w:val="0"/>
      <w:marRight w:val="0"/>
      <w:marTop w:val="0"/>
      <w:marBottom w:val="0"/>
      <w:divBdr>
        <w:top w:val="none" w:sz="0" w:space="0" w:color="auto"/>
        <w:left w:val="none" w:sz="0" w:space="0" w:color="auto"/>
        <w:bottom w:val="none" w:sz="0" w:space="0" w:color="auto"/>
        <w:right w:val="none" w:sz="0" w:space="0" w:color="auto"/>
      </w:divBdr>
    </w:div>
    <w:div w:id="264853459">
      <w:marLeft w:val="0"/>
      <w:marRight w:val="0"/>
      <w:marTop w:val="0"/>
      <w:marBottom w:val="0"/>
      <w:divBdr>
        <w:top w:val="none" w:sz="0" w:space="0" w:color="auto"/>
        <w:left w:val="none" w:sz="0" w:space="0" w:color="auto"/>
        <w:bottom w:val="none" w:sz="0" w:space="0" w:color="auto"/>
        <w:right w:val="none" w:sz="0" w:space="0" w:color="auto"/>
      </w:divBdr>
    </w:div>
    <w:div w:id="264853460">
      <w:marLeft w:val="0"/>
      <w:marRight w:val="0"/>
      <w:marTop w:val="0"/>
      <w:marBottom w:val="0"/>
      <w:divBdr>
        <w:top w:val="none" w:sz="0" w:space="0" w:color="auto"/>
        <w:left w:val="none" w:sz="0" w:space="0" w:color="auto"/>
        <w:bottom w:val="none" w:sz="0" w:space="0" w:color="auto"/>
        <w:right w:val="none" w:sz="0" w:space="0" w:color="auto"/>
      </w:divBdr>
    </w:div>
    <w:div w:id="264853461">
      <w:marLeft w:val="0"/>
      <w:marRight w:val="0"/>
      <w:marTop w:val="0"/>
      <w:marBottom w:val="0"/>
      <w:divBdr>
        <w:top w:val="none" w:sz="0" w:space="0" w:color="auto"/>
        <w:left w:val="none" w:sz="0" w:space="0" w:color="auto"/>
        <w:bottom w:val="none" w:sz="0" w:space="0" w:color="auto"/>
        <w:right w:val="none" w:sz="0" w:space="0" w:color="auto"/>
      </w:divBdr>
    </w:div>
    <w:div w:id="264853462">
      <w:marLeft w:val="0"/>
      <w:marRight w:val="0"/>
      <w:marTop w:val="0"/>
      <w:marBottom w:val="0"/>
      <w:divBdr>
        <w:top w:val="none" w:sz="0" w:space="0" w:color="auto"/>
        <w:left w:val="none" w:sz="0" w:space="0" w:color="auto"/>
        <w:bottom w:val="none" w:sz="0" w:space="0" w:color="auto"/>
        <w:right w:val="none" w:sz="0" w:space="0" w:color="auto"/>
      </w:divBdr>
    </w:div>
    <w:div w:id="264853463">
      <w:marLeft w:val="0"/>
      <w:marRight w:val="0"/>
      <w:marTop w:val="0"/>
      <w:marBottom w:val="0"/>
      <w:divBdr>
        <w:top w:val="none" w:sz="0" w:space="0" w:color="auto"/>
        <w:left w:val="none" w:sz="0" w:space="0" w:color="auto"/>
        <w:bottom w:val="none" w:sz="0" w:space="0" w:color="auto"/>
        <w:right w:val="none" w:sz="0" w:space="0" w:color="auto"/>
      </w:divBdr>
    </w:div>
    <w:div w:id="1172524740">
      <w:bodyDiv w:val="1"/>
      <w:marLeft w:val="0"/>
      <w:marRight w:val="0"/>
      <w:marTop w:val="0"/>
      <w:marBottom w:val="0"/>
      <w:divBdr>
        <w:top w:val="none" w:sz="0" w:space="0" w:color="auto"/>
        <w:left w:val="none" w:sz="0" w:space="0" w:color="auto"/>
        <w:bottom w:val="none" w:sz="0" w:space="0" w:color="auto"/>
        <w:right w:val="none" w:sz="0" w:space="0" w:color="auto"/>
      </w:divBdr>
    </w:div>
    <w:div w:id="1348750327">
      <w:bodyDiv w:val="1"/>
      <w:marLeft w:val="0"/>
      <w:marRight w:val="0"/>
      <w:marTop w:val="0"/>
      <w:marBottom w:val="0"/>
      <w:divBdr>
        <w:top w:val="none" w:sz="0" w:space="0" w:color="auto"/>
        <w:left w:val="none" w:sz="0" w:space="0" w:color="auto"/>
        <w:bottom w:val="none" w:sz="0" w:space="0" w:color="auto"/>
        <w:right w:val="none" w:sz="0" w:space="0" w:color="auto"/>
      </w:divBdr>
    </w:div>
    <w:div w:id="1385832037">
      <w:bodyDiv w:val="1"/>
      <w:marLeft w:val="0"/>
      <w:marRight w:val="0"/>
      <w:marTop w:val="0"/>
      <w:marBottom w:val="0"/>
      <w:divBdr>
        <w:top w:val="none" w:sz="0" w:space="0" w:color="auto"/>
        <w:left w:val="none" w:sz="0" w:space="0" w:color="auto"/>
        <w:bottom w:val="none" w:sz="0" w:space="0" w:color="auto"/>
        <w:right w:val="none" w:sz="0" w:space="0" w:color="auto"/>
      </w:divBdr>
    </w:div>
    <w:div w:id="1574315780">
      <w:bodyDiv w:val="1"/>
      <w:marLeft w:val="0"/>
      <w:marRight w:val="0"/>
      <w:marTop w:val="0"/>
      <w:marBottom w:val="0"/>
      <w:divBdr>
        <w:top w:val="none" w:sz="0" w:space="0" w:color="auto"/>
        <w:left w:val="none" w:sz="0" w:space="0" w:color="auto"/>
        <w:bottom w:val="none" w:sz="0" w:space="0" w:color="auto"/>
        <w:right w:val="none" w:sz="0" w:space="0" w:color="auto"/>
      </w:divBdr>
    </w:div>
    <w:div w:id="198581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iso.com/241d/241dca223c760.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footer" Target="footer3.xml"/><Relationship Id="rId10" Type="http://schemas.openxmlformats.org/officeDocument/2006/relationships/chart" Target="charts/chart1.xml"/><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caiso.com/market/Pages/ReportsBulletins/Default.aspx" TargetMode="External"/><Relationship Id="rId1" Type="http://schemas.openxmlformats.org/officeDocument/2006/relationships/hyperlink" Target="http://www.cpuc.ca.gov/PUC/energy/Procurement/RA/ra_compliance_materials.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0944275372519431"/>
          <c:y val="3.5330213794874957E-2"/>
          <c:w val="0.52154646133802451"/>
          <c:h val="0.66703877131612865"/>
        </c:manualLayout>
      </c:layout>
      <c:barChart>
        <c:barDir val="col"/>
        <c:grouping val="clustered"/>
        <c:varyColors val="0"/>
        <c:ser>
          <c:idx val="0"/>
          <c:order val="0"/>
          <c:tx>
            <c:strRef>
              <c:f>'Procurement charts'!$C$107</c:f>
              <c:strCache>
                <c:ptCount val="1"/>
                <c:pt idx="0">
                  <c:v>Load forecast</c:v>
                </c:pt>
              </c:strCache>
            </c:strRef>
          </c:tx>
          <c:invertIfNegative val="0"/>
          <c:cat>
            <c:strRef>
              <c:f>'\\Fortknox\Divisions\ENERGY DIVISION\Procurement Resource Adequacy\Resource Adequacy\RA report data\[tables for 2009 RA Report.xlsx]Charts for 2010 RA Report'!$B$107:$B$111</c:f>
              <c:strCache>
                <c:ptCount val="5"/>
                <c:pt idx="0">
                  <c:v>May</c:v>
                </c:pt>
                <c:pt idx="1">
                  <c:v>Jun</c:v>
                </c:pt>
                <c:pt idx="2">
                  <c:v>Jul</c:v>
                </c:pt>
                <c:pt idx="3">
                  <c:v>Aug</c:v>
                </c:pt>
                <c:pt idx="4">
                  <c:v>Sep</c:v>
                </c:pt>
              </c:strCache>
            </c:strRef>
          </c:cat>
          <c:val>
            <c:numRef>
              <c:f>'Procurement charts'!$C$108:$C$112</c:f>
              <c:numCache>
                <c:formatCode>#,##0</c:formatCode>
                <c:ptCount val="5"/>
                <c:pt idx="0">
                  <c:v>37434</c:v>
                </c:pt>
                <c:pt idx="1">
                  <c:v>42277</c:v>
                </c:pt>
                <c:pt idx="2">
                  <c:v>47207</c:v>
                </c:pt>
                <c:pt idx="3">
                  <c:v>48726</c:v>
                </c:pt>
                <c:pt idx="4">
                  <c:v>45118</c:v>
                </c:pt>
              </c:numCache>
            </c:numRef>
          </c:val>
        </c:ser>
        <c:ser>
          <c:idx val="1"/>
          <c:order val="1"/>
          <c:tx>
            <c:strRef>
              <c:f>'Procurement charts'!$D$107</c:f>
              <c:strCache>
                <c:ptCount val="1"/>
                <c:pt idx="0">
                  <c:v>Forward Commitment Obligation</c:v>
                </c:pt>
              </c:strCache>
            </c:strRef>
          </c:tx>
          <c:invertIfNegative val="0"/>
          <c:cat>
            <c:strRef>
              <c:f>'\\Fortknox\Divisions\ENERGY DIVISION\Procurement Resource Adequacy\Resource Adequacy\RA report data\[tables for 2009 RA Report.xlsx]Charts for 2010 RA Report'!$B$107:$B$111</c:f>
              <c:strCache>
                <c:ptCount val="5"/>
                <c:pt idx="0">
                  <c:v>May</c:v>
                </c:pt>
                <c:pt idx="1">
                  <c:v>Jun</c:v>
                </c:pt>
                <c:pt idx="2">
                  <c:v>Jul</c:v>
                </c:pt>
                <c:pt idx="3">
                  <c:v>Aug</c:v>
                </c:pt>
                <c:pt idx="4">
                  <c:v>Sep</c:v>
                </c:pt>
              </c:strCache>
            </c:strRef>
          </c:cat>
          <c:val>
            <c:numRef>
              <c:f>'Procurement charts'!$D$108:$D$112</c:f>
              <c:numCache>
                <c:formatCode>#,##0</c:formatCode>
                <c:ptCount val="5"/>
                <c:pt idx="0">
                  <c:v>43019</c:v>
                </c:pt>
                <c:pt idx="1">
                  <c:v>48601</c:v>
                </c:pt>
                <c:pt idx="2">
                  <c:v>54269</c:v>
                </c:pt>
                <c:pt idx="3">
                  <c:v>55965</c:v>
                </c:pt>
                <c:pt idx="4">
                  <c:v>51361</c:v>
                </c:pt>
              </c:numCache>
            </c:numRef>
          </c:val>
        </c:ser>
        <c:ser>
          <c:idx val="2"/>
          <c:order val="2"/>
          <c:tx>
            <c:strRef>
              <c:f>'Procurement charts'!$E$107</c:f>
              <c:strCache>
                <c:ptCount val="1"/>
                <c:pt idx="0">
                  <c:v>Total RA resources Committed</c:v>
                </c:pt>
              </c:strCache>
            </c:strRef>
          </c:tx>
          <c:invertIfNegative val="0"/>
          <c:cat>
            <c:strRef>
              <c:f>'\\Fortknox\Divisions\ENERGY DIVISION\Procurement Resource Adequacy\Resource Adequacy\RA report data\[tables for 2009 RA Report.xlsx]Charts for 2010 RA Report'!$B$107:$B$111</c:f>
              <c:strCache>
                <c:ptCount val="5"/>
                <c:pt idx="0">
                  <c:v>May</c:v>
                </c:pt>
                <c:pt idx="1">
                  <c:v>Jun</c:v>
                </c:pt>
                <c:pt idx="2">
                  <c:v>Jul</c:v>
                </c:pt>
                <c:pt idx="3">
                  <c:v>Aug</c:v>
                </c:pt>
                <c:pt idx="4">
                  <c:v>Sep</c:v>
                </c:pt>
              </c:strCache>
            </c:strRef>
          </c:cat>
          <c:val>
            <c:numRef>
              <c:f>'Procurement charts'!$E$108:$E$112</c:f>
              <c:numCache>
                <c:formatCode>#,##0</c:formatCode>
                <c:ptCount val="5"/>
                <c:pt idx="0">
                  <c:v>44251.981294652287</c:v>
                </c:pt>
                <c:pt idx="1">
                  <c:v>50254.4095525835</c:v>
                </c:pt>
                <c:pt idx="2">
                  <c:v>55436.712908405738</c:v>
                </c:pt>
                <c:pt idx="3">
                  <c:v>56714.100361718694</c:v>
                </c:pt>
                <c:pt idx="4">
                  <c:v>53078.896550416255</c:v>
                </c:pt>
              </c:numCache>
            </c:numRef>
          </c:val>
        </c:ser>
        <c:ser>
          <c:idx val="3"/>
          <c:order val="3"/>
          <c:tx>
            <c:strRef>
              <c:f>'Procurement charts'!$F$107</c:f>
              <c:strCache>
                <c:ptCount val="1"/>
                <c:pt idx="0">
                  <c:v>Actual Peak Load</c:v>
                </c:pt>
              </c:strCache>
            </c:strRef>
          </c:tx>
          <c:invertIfNegative val="0"/>
          <c:cat>
            <c:strRef>
              <c:f>'\\Fortknox\Divisions\ENERGY DIVISION\Procurement Resource Adequacy\Resource Adequacy\RA report data\[tables for 2009 RA Report.xlsx]Charts for 2010 RA Report'!$B$107:$B$111</c:f>
              <c:strCache>
                <c:ptCount val="5"/>
                <c:pt idx="0">
                  <c:v>May</c:v>
                </c:pt>
                <c:pt idx="1">
                  <c:v>Jun</c:v>
                </c:pt>
                <c:pt idx="2">
                  <c:v>Jul</c:v>
                </c:pt>
                <c:pt idx="3">
                  <c:v>Aug</c:v>
                </c:pt>
                <c:pt idx="4">
                  <c:v>Sep</c:v>
                </c:pt>
              </c:strCache>
            </c:strRef>
          </c:cat>
          <c:val>
            <c:numRef>
              <c:f>'Procurement charts'!$F$108:$F$112</c:f>
              <c:numCache>
                <c:formatCode>_(* #,##0_);_(* \(#,##0\);_(* "-"??_);_(@_)</c:formatCode>
                <c:ptCount val="5"/>
                <c:pt idx="0">
                  <c:v>33553</c:v>
                </c:pt>
                <c:pt idx="1">
                  <c:v>39728</c:v>
                </c:pt>
                <c:pt idx="2">
                  <c:v>43634</c:v>
                </c:pt>
                <c:pt idx="3">
                  <c:v>42806</c:v>
                </c:pt>
                <c:pt idx="4">
                  <c:v>45569</c:v>
                </c:pt>
              </c:numCache>
            </c:numRef>
          </c:val>
        </c:ser>
        <c:dLbls>
          <c:showLegendKey val="0"/>
          <c:showVal val="0"/>
          <c:showCatName val="0"/>
          <c:showSerName val="0"/>
          <c:showPercent val="0"/>
          <c:showBubbleSize val="0"/>
        </c:dLbls>
        <c:gapWidth val="150"/>
        <c:axId val="170211968"/>
        <c:axId val="41390464"/>
      </c:barChart>
      <c:catAx>
        <c:axId val="170211968"/>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41390464"/>
        <c:crosses val="autoZero"/>
        <c:auto val="1"/>
        <c:lblAlgn val="ctr"/>
        <c:lblOffset val="100"/>
        <c:noMultiLvlLbl val="0"/>
      </c:catAx>
      <c:valAx>
        <c:axId val="41390464"/>
        <c:scaling>
          <c:orientation val="minMax"/>
        </c:scaling>
        <c:delete val="0"/>
        <c:axPos val="l"/>
        <c:majorGridlines/>
        <c:numFmt formatCode="#,##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70211968"/>
        <c:crosses val="autoZero"/>
        <c:crossBetween val="between"/>
      </c:valAx>
      <c:dTable>
        <c:showHorzBorder val="1"/>
        <c:showVertBorder val="1"/>
        <c:showOutline val="1"/>
        <c:showKeys val="1"/>
        <c:txPr>
          <a:bodyPr/>
          <a:lstStyle/>
          <a:p>
            <a:pPr rtl="0">
              <a:defRPr sz="950" b="0" i="0" u="none" strike="noStrike" baseline="0">
                <a:solidFill>
                  <a:srgbClr val="000000"/>
                </a:solidFill>
                <a:latin typeface="Calibri"/>
                <a:ea typeface="Calibri"/>
                <a:cs typeface="Calibri"/>
              </a:defRPr>
            </a:pPr>
            <a:endParaRPr lang="en-US"/>
          </a:p>
        </c:txPr>
      </c:dTable>
    </c:plotArea>
    <c:legend>
      <c:legendPos val="r"/>
      <c:legendEntry>
        <c:idx val="0"/>
        <c:txPr>
          <a:bodyPr/>
          <a:lstStyle/>
          <a:p>
            <a:pPr>
              <a:defRPr sz="800" b="0" i="0" u="none" strike="noStrike" baseline="0">
                <a:solidFill>
                  <a:srgbClr val="000000"/>
                </a:solidFill>
                <a:latin typeface="Calibri"/>
                <a:ea typeface="Calibri"/>
                <a:cs typeface="Calibri"/>
              </a:defRPr>
            </a:pPr>
            <a:endParaRPr lang="en-US"/>
          </a:p>
        </c:txPr>
      </c:legendEntry>
      <c:legendEntry>
        <c:idx val="1"/>
        <c:txPr>
          <a:bodyPr/>
          <a:lstStyle/>
          <a:p>
            <a:pPr>
              <a:defRPr sz="800" b="0" i="0" u="none" strike="noStrike" baseline="0">
                <a:solidFill>
                  <a:srgbClr val="000000"/>
                </a:solidFill>
                <a:latin typeface="Calibri"/>
                <a:ea typeface="Calibri"/>
                <a:cs typeface="Calibri"/>
              </a:defRPr>
            </a:pPr>
            <a:endParaRPr lang="en-US"/>
          </a:p>
        </c:txPr>
      </c:legendEntry>
      <c:legendEntry>
        <c:idx val="2"/>
        <c:txPr>
          <a:bodyPr/>
          <a:lstStyle/>
          <a:p>
            <a:pPr>
              <a:defRPr sz="800" b="0" i="0" u="none" strike="noStrike" baseline="0">
                <a:solidFill>
                  <a:srgbClr val="000000"/>
                </a:solidFill>
                <a:latin typeface="Calibri"/>
                <a:ea typeface="Calibri"/>
                <a:cs typeface="Calibri"/>
              </a:defRPr>
            </a:pPr>
            <a:endParaRPr lang="en-US"/>
          </a:p>
        </c:txPr>
      </c:legendEntry>
      <c:legendEntry>
        <c:idx val="3"/>
        <c:txPr>
          <a:bodyPr/>
          <a:lstStyle/>
          <a:p>
            <a:pPr>
              <a:defRPr sz="800" b="0" i="0" u="none" strike="noStrike" baseline="0">
                <a:solidFill>
                  <a:srgbClr val="000000"/>
                </a:solidFill>
                <a:latin typeface="Calibri"/>
                <a:ea typeface="Calibri"/>
                <a:cs typeface="Calibri"/>
              </a:defRPr>
            </a:pPr>
            <a:endParaRPr lang="en-US"/>
          </a:p>
        </c:txPr>
      </c:legendEntry>
      <c:layout>
        <c:manualLayout>
          <c:xMode val="edge"/>
          <c:yMode val="edge"/>
          <c:x val="0.84372603730445805"/>
          <c:y val="0.18391050633233952"/>
          <c:w val="0.15420199532671583"/>
          <c:h val="0.55082638941976914"/>
        </c:manualLayout>
      </c:layout>
      <c:overlay val="0"/>
      <c:txPr>
        <a:bodyPr/>
        <a:lstStyle/>
        <a:p>
          <a:pPr>
            <a:defRPr sz="69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77A14-B402-4B40-A726-7FB4F9188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10715</Words>
  <Characters>60901</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71474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2011-04-01T19:05:00Z</cp:lastPrinted>
  <dcterms:created xsi:type="dcterms:W3CDTF">2013-02-01T23:18:00Z</dcterms:created>
  <dcterms:modified xsi:type="dcterms:W3CDTF">2013-02-05T19:27:00Z</dcterms:modified>
</cp:coreProperties>
</file>